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57AA" w14:textId="77777777" w:rsidR="007E645A" w:rsidRDefault="009824E6">
      <w:pPr>
        <w:rPr>
          <w:b/>
          <w:color w:val="33CCCC"/>
        </w:rPr>
      </w:pPr>
      <w:r w:rsidRPr="007714FE">
        <w:rPr>
          <w:b/>
          <w:color w:val="33CCCC"/>
        </w:rPr>
        <w:t>Scope</w:t>
      </w:r>
      <w:r w:rsidR="007E645A">
        <w:rPr>
          <w:b/>
          <w:color w:val="33CCCC"/>
        </w:rPr>
        <w:br/>
      </w:r>
      <w:r w:rsidR="00BE6C4C">
        <w:t xml:space="preserve">The HIC </w:t>
      </w:r>
      <w:r w:rsidR="004F37BA">
        <w:t xml:space="preserve">Information </w:t>
      </w:r>
      <w:r w:rsidR="00BE6C4C">
        <w:t>Security Program Charter</w:t>
      </w:r>
      <w:r w:rsidR="00AD2B91">
        <w:t xml:space="preserve"> </w:t>
      </w:r>
      <w:r w:rsidR="00C958C3">
        <w:t>and accompanying policies, guidelines, and procedures</w:t>
      </w:r>
      <w:r w:rsidR="00BE6C4C">
        <w:t xml:space="preserve"> </w:t>
      </w:r>
      <w:r w:rsidR="006C7804">
        <w:t>apply to all employees and contractors operating at HIC locations and subsidiaries</w:t>
      </w:r>
      <w:r w:rsidR="00CD717E">
        <w:t xml:space="preserve"> including</w:t>
      </w:r>
      <w:r w:rsidR="00C958C3">
        <w:t xml:space="preserve"> all</w:t>
      </w:r>
      <w:r w:rsidR="00CD717E">
        <w:t xml:space="preserve"> users</w:t>
      </w:r>
      <w:r w:rsidR="00C958C3">
        <w:t xml:space="preserve"> granted access to</w:t>
      </w:r>
      <w:r w:rsidR="00CD717E">
        <w:t xml:space="preserve"> HIC information systems</w:t>
      </w:r>
      <w:r w:rsidR="006C7804">
        <w:t>.</w:t>
      </w:r>
      <w:r w:rsidR="00ED7007">
        <w:t xml:space="preserve"> </w:t>
      </w:r>
      <w:r w:rsidR="004F37BA">
        <w:t xml:space="preserve">The HIC Information </w:t>
      </w:r>
      <w:r w:rsidR="004E0391">
        <w:t>Security Program</w:t>
      </w:r>
      <w:r w:rsidR="004F37BA">
        <w:t xml:space="preserve"> (“Security Program”)</w:t>
      </w:r>
      <w:r w:rsidR="004E0391">
        <w:t xml:space="preserve"> </w:t>
      </w:r>
      <w:r w:rsidR="00432CD8">
        <w:t>applies</w:t>
      </w:r>
      <w:r w:rsidR="004F37BA">
        <w:t xml:space="preserve"> directly to </w:t>
      </w:r>
      <w:r w:rsidR="004E0391">
        <w:t xml:space="preserve">users </w:t>
      </w:r>
      <w:r w:rsidR="00552E24">
        <w:t>handling, communicating, storing, administering</w:t>
      </w:r>
      <w:r w:rsidR="004F37BA">
        <w:t xml:space="preserve"> systems involving protected health information (PHI)</w:t>
      </w:r>
      <w:r w:rsidR="00552E24">
        <w:t xml:space="preserve"> regulated by </w:t>
      </w:r>
      <w:r w:rsidR="00552E24" w:rsidRPr="00552E24">
        <w:t xml:space="preserve">Health Insurance Portability and Accountability Act </w:t>
      </w:r>
      <w:r w:rsidR="00552E24">
        <w:t>(HIPAA)</w:t>
      </w:r>
      <w:r w:rsidR="009F4158">
        <w:t xml:space="preserve"> including the standards for personally identifiable information (PII)</w:t>
      </w:r>
      <w:r w:rsidR="004F37BA">
        <w:t>.</w:t>
      </w:r>
      <w:r w:rsidR="00552E24">
        <w:t xml:space="preserve"> </w:t>
      </w:r>
      <w:r w:rsidR="009F4158">
        <w:t xml:space="preserve"> </w:t>
      </w:r>
    </w:p>
    <w:p w14:paraId="7B94CC5A" w14:textId="77777777" w:rsidR="00C958C3" w:rsidRPr="00A8048D" w:rsidRDefault="00660218">
      <w:pPr>
        <w:rPr>
          <w:i/>
        </w:rPr>
      </w:pPr>
      <w:r>
        <w:rPr>
          <w:b/>
          <w:noProof/>
          <w:color w:val="33CCCC"/>
        </w:rPr>
        <mc:AlternateContent>
          <mc:Choice Requires="wps">
            <w:drawing>
              <wp:anchor distT="0" distB="0" distL="114300" distR="114300" simplePos="0" relativeHeight="251659264" behindDoc="0" locked="0" layoutInCell="1" allowOverlap="1" wp14:anchorId="38485699" wp14:editId="4A2EFE3A">
                <wp:simplePos x="0" y="0"/>
                <wp:positionH relativeFrom="column">
                  <wp:posOffset>-74428</wp:posOffset>
                </wp:positionH>
                <wp:positionV relativeFrom="paragraph">
                  <wp:posOffset>166932</wp:posOffset>
                </wp:positionV>
                <wp:extent cx="7006856" cy="956930"/>
                <wp:effectExtent l="0" t="0" r="3810" b="0"/>
                <wp:wrapNone/>
                <wp:docPr id="6" name="Rectangle 6"/>
                <wp:cNvGraphicFramePr/>
                <a:graphic xmlns:a="http://schemas.openxmlformats.org/drawingml/2006/main">
                  <a:graphicData uri="http://schemas.microsoft.com/office/word/2010/wordprocessingShape">
                    <wps:wsp>
                      <wps:cNvSpPr/>
                      <wps:spPr>
                        <a:xfrm>
                          <a:off x="0" y="0"/>
                          <a:ext cx="7006856" cy="956930"/>
                        </a:xfrm>
                        <a:prstGeom prst="rect">
                          <a:avLst/>
                        </a:prstGeom>
                        <a:solidFill>
                          <a:schemeClr val="bg1">
                            <a:lumMod val="95000"/>
                            <a:alpha val="5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E31F9" id="Rectangle 6" o:spid="_x0000_s1026" style="position:absolute;margin-left:-5.85pt;margin-top:13.15pt;width:551.7pt;height:7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" fillcolor="#f2f2f2 [3052]" stroked="f" strokeweight="1pt">
                <v:fill opacity="34181f"/>
              </v:rect>
            </w:pict>
          </mc:Fallback>
        </mc:AlternateContent>
      </w:r>
      <w:r w:rsidR="007E645A">
        <w:rPr>
          <w:b/>
          <w:color w:val="33CCCC"/>
        </w:rPr>
        <w:t>Mission</w:t>
      </w:r>
      <w:r>
        <w:rPr>
          <w:b/>
          <w:color w:val="33CCCC"/>
        </w:rPr>
        <w:br/>
      </w:r>
      <w:r w:rsidR="00C958C3" w:rsidRPr="00C958C3">
        <w:rPr>
          <w:i/>
        </w:rPr>
        <w:t>“To provide</w:t>
      </w:r>
      <w:r w:rsidR="00904A55">
        <w:rPr>
          <w:i/>
        </w:rPr>
        <w:t xml:space="preserve"> a comprehensive approach for the administration of </w:t>
      </w:r>
      <w:r w:rsidR="00C958C3" w:rsidRPr="00C958C3">
        <w:rPr>
          <w:i/>
        </w:rPr>
        <w:t>physical and non-physical components and systems to develop effec</w:t>
      </w:r>
      <w:r w:rsidR="00904A55">
        <w:rPr>
          <w:i/>
        </w:rPr>
        <w:t>tive metho</w:t>
      </w:r>
      <w:r w:rsidR="00904A55" w:rsidRPr="004E0391">
        <w:rPr>
          <w:i/>
        </w:rPr>
        <w:t>ds to support risk management objectives</w:t>
      </w:r>
      <w:r w:rsidRPr="004E0391">
        <w:rPr>
          <w:i/>
        </w:rPr>
        <w:t>.</w:t>
      </w:r>
      <w:r w:rsidR="00552E24" w:rsidRPr="004E0391">
        <w:rPr>
          <w:i/>
        </w:rPr>
        <w:t xml:space="preserve"> </w:t>
      </w:r>
      <w:r w:rsidR="00A8048D">
        <w:rPr>
          <w:i/>
        </w:rPr>
        <w:t>The HIC Security P</w:t>
      </w:r>
      <w:r w:rsidR="00432CD8" w:rsidRPr="004E0391">
        <w:rPr>
          <w:i/>
        </w:rPr>
        <w:t>rogram aims</w:t>
      </w:r>
      <w:r w:rsidR="00552E24" w:rsidRPr="004E0391">
        <w:rPr>
          <w:i/>
        </w:rPr>
        <w:t xml:space="preserve"> to develop a strong security culture by affecting human attitudes and behavior to be in compliance with the Health Insurance Portability and Accountability Act (HIPAA), regulations associated with personally identifiable information (PII)</w:t>
      </w:r>
      <w:r w:rsidR="00432CD8" w:rsidRPr="004E0391">
        <w:rPr>
          <w:i/>
        </w:rPr>
        <w:t>,</w:t>
      </w:r>
      <w:r w:rsidR="00552E24" w:rsidRPr="004E0391">
        <w:rPr>
          <w:i/>
        </w:rPr>
        <w:t xml:space="preserve"> and payment card industry (PCI)</w:t>
      </w:r>
      <w:r w:rsidR="00432CD8" w:rsidRPr="004E0391">
        <w:rPr>
          <w:i/>
        </w:rPr>
        <w:t xml:space="preserve"> standards</w:t>
      </w:r>
      <w:r w:rsidR="00552E24" w:rsidRPr="004E0391">
        <w:rPr>
          <w:i/>
        </w:rPr>
        <w:t>.</w:t>
      </w:r>
      <w:r w:rsidR="00C958C3" w:rsidRPr="004E0391">
        <w:rPr>
          <w:i/>
        </w:rPr>
        <w:t>”</w:t>
      </w:r>
    </w:p>
    <w:p w14:paraId="1670905C" w14:textId="77777777" w:rsidR="00904A55" w:rsidRDefault="00BE6C4C">
      <w:r>
        <w:t>The policy guide</w:t>
      </w:r>
      <w:r w:rsidR="00A8048D">
        <w:t>s employees to identify and follow</w:t>
      </w:r>
      <w:r w:rsidR="00552E24">
        <w:t xml:space="preserve"> rules set forth by HIPAA for health insurance companies</w:t>
      </w:r>
      <w:r w:rsidR="008A4973">
        <w:t xml:space="preserve"> for their respective business units and systems</w:t>
      </w:r>
      <w:r>
        <w:t xml:space="preserve">. Additionally, the policy enables a standard system for practices across HIC locations and subsidiaries to provide knowledge to staff, particularly new employees, on how processes are carried out. </w:t>
      </w:r>
      <w:r w:rsidR="00904A55">
        <w:t>Furthermore</w:t>
      </w:r>
      <w:r>
        <w:t>,</w:t>
      </w:r>
      <w:r w:rsidR="008A4973">
        <w:t xml:space="preserve"> the policy serves</w:t>
      </w:r>
      <w:r>
        <w:t xml:space="preserve"> an invaluable resource for documented guidelin</w:t>
      </w:r>
      <w:r w:rsidR="008A4973">
        <w:t>es to reduce human generated errors</w:t>
      </w:r>
      <w:r w:rsidR="007E645A">
        <w:t xml:space="preserve"> (InfoSec, n.d.). </w:t>
      </w:r>
    </w:p>
    <w:p w14:paraId="775EDB95" w14:textId="77777777" w:rsidR="00904A55" w:rsidRDefault="00AD2B91">
      <w:r>
        <w:t>The security program</w:t>
      </w:r>
      <w:r w:rsidR="00904A55">
        <w:t xml:space="preserve"> will protect information by developing policies to identify</w:t>
      </w:r>
      <w:r>
        <w:t xml:space="preserve"> assets</w:t>
      </w:r>
      <w:r w:rsidR="00904A55">
        <w:t>, categorize</w:t>
      </w:r>
      <w:r>
        <w:t xml:space="preserve"> by business impact</w:t>
      </w:r>
      <w:r w:rsidR="00904A55">
        <w:t>, and establish protection mechanisms for assets</w:t>
      </w:r>
      <w:r>
        <w:t xml:space="preserve"> using a risk management approach </w:t>
      </w:r>
      <w:r w:rsidR="00552E24">
        <w:t xml:space="preserve">(Palmer et al., 2000). </w:t>
      </w:r>
      <w:r>
        <w:t>The program will establish acceptable use of assets to be sourced from authoritative re</w:t>
      </w:r>
      <w:r w:rsidR="00552E24">
        <w:t>sources</w:t>
      </w:r>
      <w:r w:rsidR="00432CD8">
        <w:t xml:space="preserve"> for health insurance companies.</w:t>
      </w:r>
      <w:r w:rsidR="00552E24">
        <w:t xml:space="preserve"> </w:t>
      </w:r>
      <w:r>
        <w:br/>
      </w:r>
      <w:r>
        <w:br/>
        <w:t>Information system threats will be countered by t</w:t>
      </w:r>
      <w:r w:rsidR="00432CD8">
        <w:t>he policies developed by the security program</w:t>
      </w:r>
      <w:r>
        <w:t xml:space="preserve"> by way of identification, prioritization, monitoring, and response. Monitoring activities suppor</w:t>
      </w:r>
      <w:r w:rsidR="008A4973">
        <w:t>t risk m</w:t>
      </w:r>
      <w:r w:rsidR="00052EB4">
        <w:t>anagement objectives by having a t</w:t>
      </w:r>
      <w:r w:rsidR="008A4973">
        <w:t>ransparent information system for</w:t>
      </w:r>
      <w:r w:rsidR="00052EB4">
        <w:t xml:space="preserve"> the administrator to locate, respond, and recover from threats on the network.</w:t>
      </w:r>
      <w:r w:rsidR="00052EB4">
        <w:br/>
        <w:t>Monitoring activities will include the use of metrics and Cyber Threat Intelligence (CTI) to provide on-going ass</w:t>
      </w:r>
      <w:r w:rsidR="008A4973">
        <w:t>essment to obtain</w:t>
      </w:r>
      <w:r w:rsidR="00432CD8">
        <w:t xml:space="preserve"> the state of the network</w:t>
      </w:r>
      <w:r w:rsidR="00052EB4">
        <w:t>.  Monitoring</w:t>
      </w:r>
      <w:r w:rsidR="00660218">
        <w:t xml:space="preserve"> metrics and CTI referenced in the</w:t>
      </w:r>
      <w:r w:rsidR="00052EB4">
        <w:t xml:space="preserve"> policies, standards, guidelines, and procedures are intended to strengthen the strategic, operational, and tactical posit</w:t>
      </w:r>
      <w:r w:rsidR="00660218">
        <w:t>ion of HIC and subsidiaries.</w:t>
      </w:r>
    </w:p>
    <w:p w14:paraId="0D1ACBE2" w14:textId="77777777" w:rsidR="007714FE" w:rsidRDefault="00C646CC">
      <w:r>
        <w:rPr>
          <w:b/>
          <w:noProof/>
          <w:color w:val="33CCCC"/>
        </w:rPr>
        <mc:AlternateContent>
          <mc:Choice Requires="wps">
            <w:drawing>
              <wp:anchor distT="0" distB="0" distL="114300" distR="114300" simplePos="0" relativeHeight="251661312" behindDoc="0" locked="0" layoutInCell="1" allowOverlap="1" wp14:anchorId="07DBDE53" wp14:editId="18ECD52B">
                <wp:simplePos x="0" y="0"/>
                <wp:positionH relativeFrom="margin">
                  <wp:align>right</wp:align>
                </wp:positionH>
                <wp:positionV relativeFrom="paragraph">
                  <wp:posOffset>13232</wp:posOffset>
                </wp:positionV>
                <wp:extent cx="6985000" cy="2732567"/>
                <wp:effectExtent l="0" t="0" r="6350" b="0"/>
                <wp:wrapNone/>
                <wp:docPr id="7" name="Rectangle 7"/>
                <wp:cNvGraphicFramePr/>
                <a:graphic xmlns:a="http://schemas.openxmlformats.org/drawingml/2006/main">
                  <a:graphicData uri="http://schemas.microsoft.com/office/word/2010/wordprocessingShape">
                    <wps:wsp>
                      <wps:cNvSpPr/>
                      <wps:spPr>
                        <a:xfrm>
                          <a:off x="0" y="0"/>
                          <a:ext cx="6985000" cy="2732567"/>
                        </a:xfrm>
                        <a:prstGeom prst="rect">
                          <a:avLst/>
                        </a:prstGeom>
                        <a:solidFill>
                          <a:schemeClr val="bg1">
                            <a:lumMod val="95000"/>
                            <a:alpha val="5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5C496" id="Rectangle 7" o:spid="_x0000_s1026" style="position:absolute;margin-left:498.8pt;margin-top:1.05pt;width:550pt;height:215.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" fillcolor="#f2f2f2 [3052]" stroked="f" strokeweight="1pt">
                <v:fill opacity="34181f"/>
                <w10:wrap anchorx="margin"/>
              </v:rect>
            </w:pict>
          </mc:Fallback>
        </mc:AlternateContent>
      </w:r>
      <w:r w:rsidR="00D35C19">
        <w:t>The policy aims to align</w:t>
      </w:r>
      <w:r w:rsidR="008A4973">
        <w:t xml:space="preserve"> with HIC’s </w:t>
      </w:r>
      <w:r w:rsidR="007714FE">
        <w:t>security principles of:</w:t>
      </w:r>
    </w:p>
    <w:p w14:paraId="580C4E2E" w14:textId="77777777" w:rsidR="00660218" w:rsidRDefault="007714FE">
      <w:r w:rsidRPr="007714FE">
        <w:rPr>
          <w:b/>
        </w:rPr>
        <w:t>Least Privilege Principle</w:t>
      </w:r>
      <w:r>
        <w:t>:</w:t>
      </w:r>
      <w:r w:rsidR="00660218">
        <w:t xml:space="preserve"> Users and processes given the least authority and minimum access to resources required to accomplish a given task.</w:t>
      </w:r>
      <w:r w:rsidR="00660218">
        <w:br/>
      </w:r>
      <w:r w:rsidRPr="007714FE">
        <w:rPr>
          <w:b/>
        </w:rPr>
        <w:t>Accountability Principle</w:t>
      </w:r>
      <w:r w:rsidRPr="007714FE">
        <w:t>:</w:t>
      </w:r>
      <w:r w:rsidR="00660218">
        <w:t xml:space="preserve"> All significant system and process events should be traceable to the initiator.</w:t>
      </w:r>
      <w:r w:rsidR="00660218">
        <w:br/>
      </w:r>
      <w:r w:rsidRPr="007714FE">
        <w:rPr>
          <w:b/>
        </w:rPr>
        <w:t>Minimum Dependence on Secrecy Principle</w:t>
      </w:r>
      <w:r w:rsidRPr="007714FE">
        <w:t>:</w:t>
      </w:r>
      <w:r w:rsidR="00660218">
        <w:t xml:space="preserve"> Controls to still be effective even if an opponent knows of their existence and knows their mode of operation.</w:t>
      </w:r>
      <w:r w:rsidR="00660218">
        <w:br/>
      </w:r>
      <w:r w:rsidRPr="007714FE">
        <w:rPr>
          <w:b/>
        </w:rPr>
        <w:t>Control Automation Principle</w:t>
      </w:r>
      <w:r>
        <w:t>:</w:t>
      </w:r>
      <w:r w:rsidR="00660218">
        <w:t xml:space="preserve"> Automatic controls should be used rather than controls which depend on human vigilance and human behavior.</w:t>
      </w:r>
      <w:r w:rsidR="00660218">
        <w:br/>
      </w:r>
      <w:r w:rsidRPr="007714FE">
        <w:rPr>
          <w:b/>
        </w:rPr>
        <w:t>Resiliency Principle</w:t>
      </w:r>
      <w:r>
        <w:t>:</w:t>
      </w:r>
      <w:r w:rsidR="00660218">
        <w:t xml:space="preserve"> </w:t>
      </w:r>
      <w:r w:rsidR="000963B1">
        <w:t xml:space="preserve">Systems </w:t>
      </w:r>
      <w:r w:rsidR="00660218">
        <w:t xml:space="preserve">managed to minimize </w:t>
      </w:r>
      <w:r w:rsidR="000963B1">
        <w:t xml:space="preserve">damage </w:t>
      </w:r>
      <w:r w:rsidR="00660218">
        <w:t>in the event of breakdown or compromise.</w:t>
      </w:r>
      <w:r w:rsidR="000963B1">
        <w:br/>
      </w:r>
      <w:r w:rsidRPr="007714FE">
        <w:rPr>
          <w:b/>
        </w:rPr>
        <w:t>Defense in Depth Principle</w:t>
      </w:r>
      <w:r>
        <w:t>:</w:t>
      </w:r>
      <w:r w:rsidR="00C646CC">
        <w:t xml:space="preserve"> L</w:t>
      </w:r>
      <w:r w:rsidR="00660218">
        <w:t>ayered</w:t>
      </w:r>
      <w:r w:rsidR="00C646CC">
        <w:t xml:space="preserve"> controls</w:t>
      </w:r>
      <w:r w:rsidR="00660218">
        <w:t xml:space="preserve"> </w:t>
      </w:r>
      <w:r w:rsidR="00C646CC">
        <w:t>involving backup or supporting mechanisms for primary controls</w:t>
      </w:r>
      <w:r w:rsidR="000963B1">
        <w:t>.</w:t>
      </w:r>
      <w:r w:rsidR="000963B1">
        <w:br/>
      </w:r>
      <w:r w:rsidRPr="007714FE">
        <w:rPr>
          <w:b/>
        </w:rPr>
        <w:t>Approved Exception Principle</w:t>
      </w:r>
      <w:r>
        <w:t>:</w:t>
      </w:r>
      <w:r w:rsidR="000963B1">
        <w:t xml:space="preserve"> Policy exceptions to always have management approval.</w:t>
      </w:r>
      <w:r w:rsidR="000963B1">
        <w:br/>
      </w:r>
      <w:r w:rsidRPr="007714FE">
        <w:rPr>
          <w:b/>
        </w:rPr>
        <w:t>Secure Emergency Override Principle</w:t>
      </w:r>
      <w:r>
        <w:t>:</w:t>
      </w:r>
      <w:r w:rsidR="000963B1">
        <w:t xml:space="preserve"> Controls only bypassed in predetermined and secure ways. </w:t>
      </w:r>
      <w:r w:rsidR="000963B1">
        <w:br/>
      </w:r>
      <w:r w:rsidRPr="007714FE">
        <w:rPr>
          <w:b/>
        </w:rPr>
        <w:t>Auditability Principle</w:t>
      </w:r>
      <w:r>
        <w:t>:</w:t>
      </w:r>
      <w:r w:rsidR="000963B1">
        <w:t xml:space="preserve"> An independent expert must be able to verify that the system conforms to the security policy.</w:t>
      </w:r>
      <w:r w:rsidR="001D7090">
        <w:br/>
      </w:r>
      <w:r w:rsidR="00660218" w:rsidRPr="00660218">
        <w:t>(Sherwood, et al., 2005)</w:t>
      </w:r>
    </w:p>
    <w:p w14:paraId="6B201393" w14:textId="77777777" w:rsidR="000963B1" w:rsidRPr="00660218" w:rsidRDefault="000963B1"/>
    <w:p w14:paraId="489BD893" w14:textId="77777777" w:rsidR="00AB580B" w:rsidRDefault="009A6B91">
      <w:r>
        <w:rPr>
          <w:b/>
          <w:color w:val="33CCCC"/>
        </w:rPr>
        <w:t>Ownership</w:t>
      </w:r>
      <w:r w:rsidR="00432CD8">
        <w:rPr>
          <w:b/>
          <w:color w:val="33CCCC"/>
        </w:rPr>
        <w:t>:</w:t>
      </w:r>
      <w:r w:rsidR="00D155D8">
        <w:rPr>
          <w:b/>
          <w:color w:val="33CCCC"/>
        </w:rPr>
        <w:t xml:space="preserve"> </w:t>
      </w:r>
      <w:r w:rsidR="000963B1">
        <w:rPr>
          <w:b/>
          <w:color w:val="33CCCC"/>
        </w:rPr>
        <w:br/>
      </w:r>
      <w:r w:rsidR="00AB580B" w:rsidRPr="00403C0F">
        <w:t xml:space="preserve">All individuals identified in the scope of this Charter are responsible for </w:t>
      </w:r>
      <w:r w:rsidR="00746EAB" w:rsidRPr="00403C0F">
        <w:t xml:space="preserve">familiarizing </w:t>
      </w:r>
      <w:r w:rsidR="00C646CC">
        <w:t>with the Information Security P</w:t>
      </w:r>
      <w:r w:rsidR="00403C0F" w:rsidRPr="00403C0F">
        <w:t>rogram and complying with all applicable policies.</w:t>
      </w:r>
      <w:r w:rsidR="00403C0F">
        <w:t xml:space="preserve"> Specifically, HIC management is accountable for the execution of the HIC Information Security Program and ensuring that policy is properly communicated to their respective employees and business partners. </w:t>
      </w:r>
      <w:r w:rsidR="00432CD8">
        <w:t xml:space="preserve">HIC management must assist and support the creation of sound policies, standards, guidelines, and procedures for their respective business unit to provide all-inclusive and wide-ranging security program. HIC managers and team leaders are to assist in any </w:t>
      </w:r>
      <w:r w:rsidR="004E0391">
        <w:t>audit activities relating to the consistency of approved policies and procedures.</w:t>
      </w:r>
    </w:p>
    <w:p w14:paraId="1DD06814" w14:textId="77777777" w:rsidR="004E0391" w:rsidRPr="000963B1" w:rsidRDefault="00761D91">
      <w:pPr>
        <w:rPr>
          <w:b/>
          <w:color w:val="33CCCC"/>
        </w:rPr>
      </w:pPr>
      <w:r>
        <w:t>It is the</w:t>
      </w:r>
      <w:r w:rsidR="004E0391">
        <w:t xml:space="preserve"> responsibility of the </w:t>
      </w:r>
      <w:r w:rsidR="00C646CC">
        <w:t>Chief Information Security Officer (CISO)</w:t>
      </w:r>
      <w:r w:rsidR="004E0391">
        <w:t xml:space="preserve"> to establish an Information</w:t>
      </w:r>
      <w:r>
        <w:t xml:space="preserve"> Security Awareness Program (ISA</w:t>
      </w:r>
      <w:r w:rsidR="004E0391">
        <w:t xml:space="preserve">P) to ensure policies and procedures are communicated across </w:t>
      </w:r>
      <w:r>
        <w:t>all HIC business units. The CISO is responsible</w:t>
      </w:r>
      <w:r w:rsidR="004E0391">
        <w:t xml:space="preserve"> to match incoming components, system, software, and processes to be in alignment with the existing information security policy. </w:t>
      </w:r>
      <w:r w:rsidR="00C646CC">
        <w:t>CISO</w:t>
      </w:r>
      <w:r w:rsidR="00DC1150">
        <w:t xml:space="preserve"> responsi</w:t>
      </w:r>
      <w:r>
        <w:t>bilities may be granted to the following titles</w:t>
      </w:r>
      <w:r w:rsidR="00DC1150">
        <w:t xml:space="preserve">: </w:t>
      </w:r>
      <w:r w:rsidR="00DC1150" w:rsidRPr="00DC1150">
        <w:t>Director of Information Security, Chief Security Officer, Director of Risk and Compliance</w:t>
      </w:r>
      <w:r w:rsidR="00DC1150">
        <w:t>,</w:t>
      </w:r>
      <w:r w:rsidR="00DC1150" w:rsidRPr="00DC1150">
        <w:t xml:space="preserve"> or Information Security Program Manager</w:t>
      </w:r>
      <w:r w:rsidR="00DC1150">
        <w:rPr>
          <w:rFonts w:ascii="Tahoma" w:hAnsi="Tahoma" w:cs="Tahoma"/>
        </w:rPr>
        <w:t xml:space="preserve"> </w:t>
      </w:r>
      <w:r w:rsidR="00DC1150" w:rsidRPr="00DC1150">
        <w:t>(Johnson, 2015)</w:t>
      </w:r>
      <w:r w:rsidR="00DC1150">
        <w:t>.</w:t>
      </w:r>
    </w:p>
    <w:p w14:paraId="5F359796" w14:textId="77777777" w:rsidR="00746EAB" w:rsidRPr="00085E9D" w:rsidRDefault="00DC1150">
      <w:r>
        <w:t xml:space="preserve">The Chief Information Officer (CIO) </w:t>
      </w:r>
      <w:r w:rsidR="00085E9D">
        <w:t xml:space="preserve">is responsible for </w:t>
      </w:r>
      <w:r>
        <w:t>ap</w:t>
      </w:r>
      <w:r w:rsidR="00085E9D">
        <w:t xml:space="preserve">pointing the CISO, to </w:t>
      </w:r>
      <w:r>
        <w:t xml:space="preserve">manage the HIC </w:t>
      </w:r>
      <w:r w:rsidR="00085E9D">
        <w:t>Security Program, and for approving the Security Program policies. Any minor or material changes of the policy is not without approval by both CISO and CIO. The CIO takes full ownership and accountability of the HIC Security Program Charter</w:t>
      </w:r>
      <w:r w:rsidR="00D155D8">
        <w:t xml:space="preserve"> (SPC)</w:t>
      </w:r>
      <w:r w:rsidR="00085E9D">
        <w:t xml:space="preserve"> and accompanying policies, guidelines, and procedures.</w:t>
      </w:r>
    </w:p>
    <w:p w14:paraId="26054AE8" w14:textId="77777777" w:rsidR="00085E9D" w:rsidRDefault="00085E9D">
      <w:r>
        <w:t xml:space="preserve">The Chief Executive Officer (CEO) </w:t>
      </w:r>
      <w:r w:rsidR="00D155D8">
        <w:t xml:space="preserve">responsibilities include reviewing and approving the HIC SPC to align with the mission of HIC and its </w:t>
      </w:r>
      <w:r w:rsidR="00C046F8">
        <w:t>subsidiaries.</w:t>
      </w:r>
    </w:p>
    <w:p w14:paraId="341771F6" w14:textId="77777777" w:rsidR="009A6B91" w:rsidRDefault="009A6B91">
      <w:r>
        <w:rPr>
          <w:b/>
          <w:color w:val="33CCCC"/>
        </w:rPr>
        <w:t>Coverage:</w:t>
      </w:r>
      <w:r>
        <w:br/>
        <w:t>Failure to comply with HIC Security Program policies, guidelines, and procedures may result in termination. Management</w:t>
      </w:r>
      <w:r w:rsidR="001A54C5">
        <w:t xml:space="preserve"> is recommended</w:t>
      </w:r>
      <w:r>
        <w:t xml:space="preserve"> by the Security Program to take at least a three-step approach that includes verbal warning, written warning with copy submitted to the CISO, and a remediation action. The CISO is responsible to assess fair use and conformance to </w:t>
      </w:r>
      <w:r w:rsidR="001A54C5">
        <w:t>the HIC Security P</w:t>
      </w:r>
      <w:r>
        <w:t xml:space="preserve">olicy and has the powers to reverse any decisions made by management involving the security program. </w:t>
      </w:r>
      <w:r w:rsidR="001A54C5">
        <w:t>The CISO and managers observing employee conformance to the policy should enforce rules to the same intensity as the impact of its violation.</w:t>
      </w:r>
      <w:r w:rsidR="00440C04" w:rsidRPr="00440C04">
        <w:t xml:space="preserve"> Violations include the failure to implement safeguards that reasonably and appropriately protect e-PH</w:t>
      </w:r>
      <w:r w:rsidR="00440C04">
        <w:t>I (HHS.gov, n.d.).</w:t>
      </w:r>
    </w:p>
    <w:p w14:paraId="027BAF61" w14:textId="77777777" w:rsidR="00C046F8" w:rsidRDefault="00C046F8">
      <w:r>
        <w:t xml:space="preserve">Identified deficiencies in the security program should be communicated by any user of HIC systems to the CISO for immediate correction and reimplementation of the component, service, or system. </w:t>
      </w:r>
      <w:r w:rsidR="00C646CC">
        <w:t>E</w:t>
      </w:r>
      <w:r>
        <w:t>xception</w:t>
      </w:r>
      <w:r w:rsidR="00C646CC">
        <w:t>s to the policy are</w:t>
      </w:r>
      <w:r>
        <w:t xml:space="preserve"> not without explicit written consent by the authorized approval authority stated in the policies, standards, and guidelines.</w:t>
      </w:r>
    </w:p>
    <w:p w14:paraId="5E03DAE0" w14:textId="77777777" w:rsidR="009A6B91" w:rsidRDefault="009A6B91">
      <w:r>
        <w:t>Violations of the HIC Security Policy that can result in lawsuits are to be communicated by the CEO or CIO to the legal department to assess cost and recovery from lawsuits referencing applicable regulations and laws.</w:t>
      </w:r>
    </w:p>
    <w:p w14:paraId="54F0BDE2" w14:textId="77777777" w:rsidR="009A6B91" w:rsidRDefault="00CC34EE" w:rsidP="009A6B91">
      <w:r>
        <w:t>Creation and use of</w:t>
      </w:r>
      <w:r w:rsidR="009A6B91">
        <w:t xml:space="preserve"> </w:t>
      </w:r>
      <w:r w:rsidR="00C646CC">
        <w:t xml:space="preserve">policy </w:t>
      </w:r>
      <w:r w:rsidR="00C22855">
        <w:t>is</w:t>
      </w:r>
      <w:r w:rsidR="009A6B91">
        <w:t xml:space="preserve"> used to sup</w:t>
      </w:r>
      <w:r w:rsidR="00C22855">
        <w:t>port the HIC business mission</w:t>
      </w:r>
      <w:r w:rsidR="009A6B91">
        <w:t xml:space="preserve"> and NOT to be used for offensive and/or hostile acts against </w:t>
      </w:r>
      <w:r w:rsidR="00C646CC">
        <w:t>an employee</w:t>
      </w:r>
      <w:r w:rsidR="009A6B91">
        <w:t xml:space="preserve"> in the workplace.</w:t>
      </w:r>
      <w:r w:rsidR="00C22855">
        <w:t xml:space="preserve"> Unfair punishment reported and resulting from the security program will be assessed by either CISO or CIO. </w:t>
      </w:r>
      <w:r w:rsidR="009A6B91">
        <w:t xml:space="preserve">In any event a user of the security program feels they are being coerced to violate a program, procedure, law, or principled human right should report the incident to the CISO. </w:t>
      </w:r>
    </w:p>
    <w:p w14:paraId="32B17745" w14:textId="77777777" w:rsidR="009A6B91" w:rsidRDefault="00C22855">
      <w:r>
        <w:t>An annual review of the HIC Security Program will be conducted annually by the CISO under the time specified by the CEO or CIO.</w:t>
      </w:r>
      <w:r w:rsidR="00A8048D">
        <w:t xml:space="preserve"> This includes</w:t>
      </w:r>
      <w:r>
        <w:t xml:space="preserve"> a formal report submitted to the CIO comprising of compliance metrics and recommendations to improve the program.  A review will be conducted after any significant changes to law and/or operating environment to assess the security program’s adequacy. </w:t>
      </w:r>
    </w:p>
    <w:p w14:paraId="5D3968AF" w14:textId="77777777" w:rsidR="009824E6" w:rsidRDefault="009824E6"/>
    <w:p w14:paraId="7E71DA83" w14:textId="77777777" w:rsidR="009824E6" w:rsidRPr="007714FE" w:rsidRDefault="00A45E8F">
      <w:pPr>
        <w:rPr>
          <w:b/>
          <w:color w:val="33CCCC"/>
        </w:rPr>
      </w:pPr>
      <w:r>
        <w:rPr>
          <w:b/>
          <w:color w:val="33CCCC"/>
        </w:rPr>
        <w:t>Supplemental</w:t>
      </w:r>
      <w:r w:rsidR="007714FE" w:rsidRPr="007714FE">
        <w:rPr>
          <w:b/>
          <w:color w:val="33CCCC"/>
        </w:rPr>
        <w:t xml:space="preserve"> I: Policy Architecture</w:t>
      </w:r>
    </w:p>
    <w:p w14:paraId="70D8C4BB" w14:textId="77777777" w:rsidR="009824E6" w:rsidRDefault="009824E6"/>
    <w:p w14:paraId="47001E90" w14:textId="77777777" w:rsidR="009824E6" w:rsidRDefault="007714FE" w:rsidP="00A45E8F">
      <w:pPr>
        <w:jc w:val="center"/>
      </w:pPr>
      <w:r>
        <w:rPr>
          <w:noProof/>
        </w:rPr>
        <w:drawing>
          <wp:inline distT="0" distB="0" distL="0" distR="0" wp14:anchorId="50BAA33E" wp14:editId="23156C73">
            <wp:extent cx="6858000" cy="6858000"/>
            <wp:effectExtent l="0" t="0" r="0" b="0"/>
            <wp:docPr id="2" name="Picture 1" descr="https://documents.lucidchart.com/documents/9b4525c5-380c-400f-a804-0e4c072145a0/pages/0_0?a=1178&amp;x=69&amp;y=-51&amp;w=1122&amp;h=1122&amp;store=1&amp;accept=image%2F*&amp;auth=LCA%20b6ba93bbc13d53e9eb7995e8948394f0ba40e63c-ts%3D1513059942">
              <a:extLst xmlns:a="http://schemas.openxmlformats.org/drawingml/2006/main">
                <a:ext uri="{FF2B5EF4-FFF2-40B4-BE49-F238E27FC236}">
                  <a16:creationId xmlns:a16="http://schemas.microsoft.com/office/drawing/2014/main" id="{22C5B46A-104F-4210-9D2B-77EC3CC573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documents.lucidchart.com/documents/9b4525c5-380c-400f-a804-0e4c072145a0/pages/0_0?a=1178&amp;x=69&amp;y=-51&amp;w=1122&amp;h=1122&amp;store=1&amp;accept=image%2F*&amp;auth=LCA%20b6ba93bbc13d53e9eb7995e8948394f0ba40e63c-ts%3D1513059942">
                      <a:extLst>
                        <a:ext uri="{FF2B5EF4-FFF2-40B4-BE49-F238E27FC236}">
                          <a16:creationId xmlns:a16="http://schemas.microsoft.com/office/drawing/2014/main" id="{22C5B46A-104F-4210-9D2B-77EC3CC5736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pic:spPr>
                </pic:pic>
              </a:graphicData>
            </a:graphic>
          </wp:inline>
        </w:drawing>
      </w:r>
    </w:p>
    <w:p w14:paraId="6AA1520D" w14:textId="77777777" w:rsidR="00761D91" w:rsidRDefault="00761D91" w:rsidP="00440C04">
      <w:pPr>
        <w:rPr>
          <w:b/>
          <w:color w:val="33CCCC"/>
        </w:rPr>
      </w:pPr>
    </w:p>
    <w:p w14:paraId="49D5B176" w14:textId="77777777" w:rsidR="00761D91" w:rsidRDefault="00761D91" w:rsidP="00440C04">
      <w:pPr>
        <w:rPr>
          <w:b/>
          <w:color w:val="33CCCC"/>
        </w:rPr>
      </w:pPr>
    </w:p>
    <w:p w14:paraId="2605D58F" w14:textId="77777777" w:rsidR="00440C04" w:rsidRDefault="00440C04" w:rsidP="00440C04">
      <w:r>
        <w:rPr>
          <w:b/>
          <w:color w:val="33CCCC"/>
        </w:rPr>
        <w:lastRenderedPageBreak/>
        <w:t>Supplemental</w:t>
      </w:r>
      <w:r w:rsidRPr="007714FE">
        <w:rPr>
          <w:b/>
          <w:color w:val="33CCCC"/>
        </w:rPr>
        <w:t xml:space="preserve"> </w:t>
      </w:r>
      <w:r>
        <w:rPr>
          <w:b/>
          <w:color w:val="33CCCC"/>
        </w:rPr>
        <w:t>I</w:t>
      </w:r>
      <w:r w:rsidRPr="007714FE">
        <w:rPr>
          <w:b/>
          <w:color w:val="33CCCC"/>
        </w:rPr>
        <w:t xml:space="preserve">I: </w:t>
      </w:r>
      <w:r>
        <w:rPr>
          <w:b/>
          <w:color w:val="33CCCC"/>
        </w:rPr>
        <w:t>HIC Policy Outline</w:t>
      </w:r>
    </w:p>
    <w:p w14:paraId="48DE92AF" w14:textId="77777777" w:rsidR="00440C04" w:rsidRDefault="00440C04" w:rsidP="00440C04"/>
    <w:p w14:paraId="1DAE2535" w14:textId="77777777" w:rsidR="00440C04" w:rsidRDefault="00440C04" w:rsidP="00440C04">
      <w:pPr>
        <w:jc w:val="center"/>
      </w:pPr>
    </w:p>
    <w:p w14:paraId="3CD62FBB" w14:textId="77777777" w:rsidR="00440C04" w:rsidRDefault="00440C04" w:rsidP="00440C04">
      <w:pPr>
        <w:pStyle w:val="ListParagraph"/>
        <w:numPr>
          <w:ilvl w:val="0"/>
          <w:numId w:val="1"/>
        </w:numPr>
      </w:pPr>
      <w:r>
        <w:t>Network Security Policy</w:t>
      </w:r>
    </w:p>
    <w:p w14:paraId="7FF1EBBA" w14:textId="77777777" w:rsidR="00440C04" w:rsidRDefault="00440C04" w:rsidP="00440C04">
      <w:pPr>
        <w:pStyle w:val="ListParagraph"/>
        <w:numPr>
          <w:ilvl w:val="0"/>
          <w:numId w:val="1"/>
        </w:numPr>
      </w:pPr>
      <w:r>
        <w:t>Platform Security Policy</w:t>
      </w:r>
    </w:p>
    <w:p w14:paraId="7EED33C1" w14:textId="77777777" w:rsidR="00440C04" w:rsidRDefault="00440C04" w:rsidP="00440C04">
      <w:pPr>
        <w:pStyle w:val="ListParagraph"/>
        <w:numPr>
          <w:ilvl w:val="0"/>
          <w:numId w:val="1"/>
        </w:numPr>
      </w:pPr>
      <w:r>
        <w:t>Other Infrastructure Security Policies:</w:t>
      </w:r>
    </w:p>
    <w:p w14:paraId="6CE7769C" w14:textId="77777777" w:rsidR="00440C04" w:rsidRDefault="00440C04" w:rsidP="00440C04">
      <w:r>
        <w:tab/>
        <w:t>General Infrastructure:</w:t>
      </w:r>
    </w:p>
    <w:p w14:paraId="06BE367C" w14:textId="77777777" w:rsidR="00440C04" w:rsidRDefault="00440C04" w:rsidP="00440C04">
      <w:r>
        <w:tab/>
      </w:r>
      <w:r>
        <w:tab/>
        <w:t>Antivirus &amp; Malware</w:t>
      </w:r>
      <w:r>
        <w:br/>
      </w:r>
      <w:r>
        <w:tab/>
      </w:r>
      <w:r>
        <w:tab/>
        <w:t>Remote Access Policy</w:t>
      </w:r>
      <w:r>
        <w:br/>
      </w:r>
      <w:r>
        <w:tab/>
      </w:r>
      <w:r>
        <w:tab/>
        <w:t>Acceptable Use Policy:</w:t>
      </w:r>
      <w:r>
        <w:br/>
      </w:r>
      <w:r>
        <w:tab/>
      </w:r>
      <w:r>
        <w:tab/>
        <w:t>User Authentication Policy:</w:t>
      </w:r>
    </w:p>
    <w:p w14:paraId="4A3CF79B" w14:textId="77777777" w:rsidR="00440C04" w:rsidRDefault="00440C04" w:rsidP="00440C04">
      <w:r>
        <w:tab/>
        <w:t>Specific Infrastructure:</w:t>
      </w:r>
    </w:p>
    <w:p w14:paraId="1FF3D6DE" w14:textId="77777777" w:rsidR="00440C04" w:rsidRDefault="00440C04" w:rsidP="00440C04">
      <w:pPr>
        <w:ind w:left="1440"/>
      </w:pPr>
      <w:r>
        <w:t>Middleware Policy</w:t>
      </w:r>
      <w:r>
        <w:br/>
        <w:t>Data Management Policy</w:t>
      </w:r>
      <w:r>
        <w:br/>
        <w:t>Security Management Services Security Policy</w:t>
      </w:r>
      <w:r>
        <w:br/>
        <w:t>Directory Service Security Policy</w:t>
      </w:r>
      <w:r>
        <w:br/>
      </w:r>
    </w:p>
    <w:p w14:paraId="6886C927" w14:textId="77777777" w:rsidR="00440C04" w:rsidRDefault="00440C04" w:rsidP="00440C04">
      <w:pPr>
        <w:pStyle w:val="ListParagraph"/>
        <w:numPr>
          <w:ilvl w:val="0"/>
          <w:numId w:val="1"/>
        </w:numPr>
      </w:pPr>
      <w:r>
        <w:t xml:space="preserve">Application System Security Policies </w:t>
      </w:r>
    </w:p>
    <w:p w14:paraId="15DFDA73" w14:textId="77777777" w:rsidR="00440C04" w:rsidRDefault="00440C04" w:rsidP="00440C04">
      <w:pPr>
        <w:pStyle w:val="ListParagraph"/>
        <w:numPr>
          <w:ilvl w:val="0"/>
          <w:numId w:val="1"/>
        </w:numPr>
      </w:pPr>
      <w:r>
        <w:t>Security Culture Development</w:t>
      </w:r>
    </w:p>
    <w:p w14:paraId="47CC3C3A" w14:textId="77777777" w:rsidR="00440C04" w:rsidRDefault="00440C04" w:rsidP="00440C04">
      <w:pPr>
        <w:pStyle w:val="ListParagraph"/>
        <w:numPr>
          <w:ilvl w:val="0"/>
          <w:numId w:val="1"/>
        </w:numPr>
      </w:pPr>
      <w:r>
        <w:t>Policy Management for Outsourced Strategy</w:t>
      </w:r>
    </w:p>
    <w:p w14:paraId="012F5DBB" w14:textId="77777777" w:rsidR="00440C04" w:rsidRDefault="00440C04">
      <w:r>
        <w:br w:type="page"/>
      </w:r>
    </w:p>
    <w:p w14:paraId="112B8E8D" w14:textId="77777777" w:rsidR="003B286B" w:rsidRDefault="003B286B"/>
    <w:p w14:paraId="4F0872DE" w14:textId="77777777" w:rsidR="00D35C19" w:rsidRDefault="00D35C19"/>
    <w:p w14:paraId="122B841B" w14:textId="77777777" w:rsidR="00A45E8F" w:rsidRDefault="00D35C19">
      <w:pPr>
        <w:rPr>
          <w:b/>
          <w:color w:val="33CCCC"/>
        </w:rPr>
      </w:pPr>
      <w:r>
        <w:rPr>
          <w:b/>
          <w:color w:val="33CCCC"/>
        </w:rPr>
        <w:br/>
      </w:r>
      <w:r w:rsidR="00A45E8F">
        <w:rPr>
          <w:b/>
          <w:color w:val="33CCCC"/>
        </w:rPr>
        <w:t>Supplemental</w:t>
      </w:r>
      <w:r w:rsidRPr="007714FE">
        <w:rPr>
          <w:b/>
          <w:color w:val="33CCCC"/>
        </w:rPr>
        <w:t xml:space="preserve"> </w:t>
      </w:r>
      <w:r w:rsidR="00440C04">
        <w:rPr>
          <w:b/>
          <w:color w:val="33CCCC"/>
        </w:rPr>
        <w:t>I</w:t>
      </w:r>
      <w:r>
        <w:rPr>
          <w:b/>
          <w:color w:val="33CCCC"/>
        </w:rPr>
        <w:t>I</w:t>
      </w:r>
      <w:r w:rsidRPr="007714FE">
        <w:rPr>
          <w:b/>
          <w:color w:val="33CCCC"/>
        </w:rPr>
        <w:t xml:space="preserve">I: </w:t>
      </w:r>
      <w:r>
        <w:rPr>
          <w:b/>
          <w:color w:val="33CCCC"/>
        </w:rPr>
        <w:t>Hierarchical Committee Model for Information Security Management</w:t>
      </w:r>
    </w:p>
    <w:p w14:paraId="2A77CCB0" w14:textId="77777777" w:rsidR="00A45E8F" w:rsidRPr="00203FA4" w:rsidRDefault="00A45E8F" w:rsidP="00A45E8F">
      <w:pPr>
        <w:jc w:val="center"/>
        <w:rPr>
          <w:b/>
          <w:color w:val="33CCCC"/>
        </w:rPr>
      </w:pPr>
      <w:r>
        <w:rPr>
          <w:noProof/>
        </w:rPr>
        <w:drawing>
          <wp:inline distT="0" distB="0" distL="0" distR="0" wp14:anchorId="07EE32F9" wp14:editId="582640F7">
            <wp:extent cx="5553909" cy="6390138"/>
            <wp:effectExtent l="0" t="0" r="8890" b="0"/>
            <wp:docPr id="13" name="Picture 13" descr="https://documents.lucidchart.com/documents/20c70db4-6167-4fd6-a674-a0063c154344/pages/0_0?a=953&amp;x=20&amp;y=-26&amp;w=880&amp;h=1012&amp;store=1&amp;accept=image%2F*&amp;auth=LCA%204aa32d203703655ca7ea64cd8ba3cd63e48a462d-ts%3D1521517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ocuments.lucidchart.com/documents/20c70db4-6167-4fd6-a674-a0063c154344/pages/0_0?a=953&amp;x=20&amp;y=-26&amp;w=880&amp;h=1012&amp;store=1&amp;accept=image%2F*&amp;auth=LCA%204aa32d203703655ca7ea64cd8ba3cd63e48a462d-ts%3D15215178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6852" cy="6405030"/>
                    </a:xfrm>
                    <a:prstGeom prst="rect">
                      <a:avLst/>
                    </a:prstGeom>
                    <a:noFill/>
                    <a:ln>
                      <a:noFill/>
                    </a:ln>
                  </pic:spPr>
                </pic:pic>
              </a:graphicData>
            </a:graphic>
          </wp:inline>
        </w:drawing>
      </w:r>
    </w:p>
    <w:p w14:paraId="50F43D59" w14:textId="77777777" w:rsidR="009824E6" w:rsidRDefault="009824E6" w:rsidP="00A45E8F"/>
    <w:p w14:paraId="44E26F20" w14:textId="77777777" w:rsidR="006C7804" w:rsidRDefault="006C7804" w:rsidP="003B286B">
      <w:pPr>
        <w:jc w:val="center"/>
      </w:pPr>
    </w:p>
    <w:p w14:paraId="3DCDF8C4" w14:textId="77777777" w:rsidR="006C7804" w:rsidRDefault="006C7804" w:rsidP="003B286B">
      <w:pPr>
        <w:jc w:val="center"/>
      </w:pPr>
    </w:p>
    <w:p w14:paraId="21CD3E63" w14:textId="77777777" w:rsidR="006C7804" w:rsidRDefault="006C7804"/>
    <w:p w14:paraId="59DF24DE" w14:textId="77777777" w:rsidR="006C7804" w:rsidRDefault="006C7804" w:rsidP="003B286B">
      <w:pPr>
        <w:jc w:val="center"/>
      </w:pPr>
    </w:p>
    <w:p w14:paraId="60964EBC" w14:textId="77777777" w:rsidR="006C7804" w:rsidRDefault="00A45E8F" w:rsidP="006C7804">
      <w:pPr>
        <w:rPr>
          <w:b/>
          <w:color w:val="33CCCC"/>
        </w:rPr>
      </w:pPr>
      <w:r>
        <w:rPr>
          <w:b/>
          <w:color w:val="33CCCC"/>
        </w:rPr>
        <w:t>Supplemental</w:t>
      </w:r>
      <w:r w:rsidR="006C7804" w:rsidRPr="007714FE">
        <w:rPr>
          <w:b/>
          <w:color w:val="33CCCC"/>
        </w:rPr>
        <w:t xml:space="preserve"> </w:t>
      </w:r>
      <w:r w:rsidR="009F4158">
        <w:rPr>
          <w:b/>
          <w:color w:val="33CCCC"/>
        </w:rPr>
        <w:t>I</w:t>
      </w:r>
      <w:r>
        <w:rPr>
          <w:b/>
          <w:color w:val="33CCCC"/>
        </w:rPr>
        <w:t>V</w:t>
      </w:r>
      <w:r w:rsidR="006C7804" w:rsidRPr="007714FE">
        <w:rPr>
          <w:b/>
          <w:color w:val="33CCCC"/>
        </w:rPr>
        <w:t xml:space="preserve">: </w:t>
      </w:r>
      <w:r w:rsidR="004D5155">
        <w:rPr>
          <w:b/>
          <w:color w:val="33CCCC"/>
        </w:rPr>
        <w:t>State of the Current Policy</w:t>
      </w:r>
    </w:p>
    <w:p w14:paraId="01576655" w14:textId="77777777" w:rsidR="004D5155" w:rsidRPr="004D5155" w:rsidRDefault="004D5155" w:rsidP="006C7804">
      <w:r w:rsidRPr="004D5155">
        <w:t>Interviewer:</w:t>
      </w:r>
      <w:r>
        <w:t xml:space="preserve"> Ryan Nye, Company</w:t>
      </w:r>
      <w:r w:rsidRPr="009F4158">
        <w:rPr>
          <w:b/>
        </w:rPr>
        <w:t>X</w:t>
      </w:r>
      <w:r w:rsidRPr="004D5155">
        <w:br/>
        <w:t xml:space="preserve">Interviewee: </w:t>
      </w:r>
      <w:r w:rsidR="00A45E8F">
        <w:t xml:space="preserve">Scott </w:t>
      </w:r>
      <w:proofErr w:type="spellStart"/>
      <w:r w:rsidR="00A45E8F">
        <w:t>Aukerman</w:t>
      </w:r>
      <w:proofErr w:type="spellEnd"/>
      <w:r w:rsidR="00A45E8F">
        <w:t>, CEO</w:t>
      </w:r>
    </w:p>
    <w:p w14:paraId="10FD6ACD" w14:textId="77777777" w:rsidR="004D5155" w:rsidRDefault="004D5155" w:rsidP="006C7804">
      <w:pPr>
        <w:rPr>
          <w:b/>
          <w:color w:val="33CCCC"/>
        </w:rPr>
      </w:pPr>
    </w:p>
    <w:tbl>
      <w:tblPr>
        <w:tblStyle w:val="TableGrid"/>
        <w:tblW w:w="0" w:type="auto"/>
        <w:tblLook w:val="04A0" w:firstRow="1" w:lastRow="0" w:firstColumn="1" w:lastColumn="0" w:noHBand="0" w:noVBand="1"/>
      </w:tblPr>
      <w:tblGrid>
        <w:gridCol w:w="5395"/>
        <w:gridCol w:w="5395"/>
      </w:tblGrid>
      <w:tr w:rsidR="00F35ECB" w14:paraId="43C44291" w14:textId="77777777" w:rsidTr="009F4158">
        <w:tc>
          <w:tcPr>
            <w:tcW w:w="5395" w:type="dxa"/>
            <w:shd w:val="clear" w:color="auto" w:fill="000000" w:themeFill="text1"/>
          </w:tcPr>
          <w:p w14:paraId="64F6FC7C" w14:textId="77777777" w:rsidR="00F35ECB" w:rsidRPr="00F35ECB" w:rsidRDefault="00F35ECB" w:rsidP="006C7804">
            <w:pPr>
              <w:rPr>
                <w:b/>
              </w:rPr>
            </w:pPr>
            <w:r w:rsidRPr="00F35ECB">
              <w:rPr>
                <w:b/>
              </w:rPr>
              <w:t>Interviewer Question</w:t>
            </w:r>
          </w:p>
        </w:tc>
        <w:tc>
          <w:tcPr>
            <w:tcW w:w="5395" w:type="dxa"/>
            <w:shd w:val="clear" w:color="auto" w:fill="000000" w:themeFill="text1"/>
          </w:tcPr>
          <w:p w14:paraId="7241075C" w14:textId="77777777" w:rsidR="00F35ECB" w:rsidRPr="00F35ECB" w:rsidRDefault="00F35ECB" w:rsidP="006C7804">
            <w:pPr>
              <w:rPr>
                <w:b/>
              </w:rPr>
            </w:pPr>
            <w:r w:rsidRPr="00F35ECB">
              <w:rPr>
                <w:b/>
              </w:rPr>
              <w:t>Interviewee Response</w:t>
            </w:r>
          </w:p>
        </w:tc>
      </w:tr>
      <w:tr w:rsidR="004D5155" w14:paraId="0CB535A5" w14:textId="77777777" w:rsidTr="004D5155">
        <w:tc>
          <w:tcPr>
            <w:tcW w:w="5395" w:type="dxa"/>
          </w:tcPr>
          <w:p w14:paraId="5B3A8F1D" w14:textId="77777777" w:rsidR="004D5155" w:rsidRPr="00F35ECB" w:rsidRDefault="004D5155" w:rsidP="006C7804">
            <w:r w:rsidRPr="00F35ECB">
              <w:t>Does the enterprise have any security policies at all?</w:t>
            </w:r>
          </w:p>
        </w:tc>
        <w:tc>
          <w:tcPr>
            <w:tcW w:w="5395" w:type="dxa"/>
          </w:tcPr>
          <w:p w14:paraId="70912E96" w14:textId="77777777" w:rsidR="004D5155" w:rsidRPr="00F35ECB" w:rsidRDefault="00F35ECB" w:rsidP="006C7804">
            <w:pPr>
              <w:rPr>
                <w:i/>
              </w:rPr>
            </w:pPr>
            <w:r w:rsidRPr="00F35ECB">
              <w:rPr>
                <w:i/>
              </w:rPr>
              <w:t>Yes</w:t>
            </w:r>
          </w:p>
        </w:tc>
      </w:tr>
      <w:tr w:rsidR="004D5155" w14:paraId="666B5659" w14:textId="77777777" w:rsidTr="004D5155">
        <w:tc>
          <w:tcPr>
            <w:tcW w:w="5395" w:type="dxa"/>
          </w:tcPr>
          <w:p w14:paraId="1ED7A5E1" w14:textId="77777777" w:rsidR="004D5155" w:rsidRPr="00F35ECB" w:rsidRDefault="004D5155" w:rsidP="006C7804">
            <w:r w:rsidRPr="00F35ECB">
              <w:t>Who developed them: an individual? A group?</w:t>
            </w:r>
          </w:p>
        </w:tc>
        <w:tc>
          <w:tcPr>
            <w:tcW w:w="5395" w:type="dxa"/>
          </w:tcPr>
          <w:p w14:paraId="52035F49" w14:textId="77777777" w:rsidR="004D5155" w:rsidRPr="00F35ECB" w:rsidRDefault="00F35ECB" w:rsidP="006C7804">
            <w:pPr>
              <w:rPr>
                <w:i/>
              </w:rPr>
            </w:pPr>
            <w:r w:rsidRPr="00F35ECB">
              <w:rPr>
                <w:i/>
              </w:rPr>
              <w:t xml:space="preserve">Our previous CEO </w:t>
            </w:r>
            <w:r>
              <w:rPr>
                <w:i/>
              </w:rPr>
              <w:t>outsourced policy formulation to an IT firm</w:t>
            </w:r>
            <w:r w:rsidR="00FB2125">
              <w:rPr>
                <w:i/>
              </w:rPr>
              <w:t xml:space="preserve"> based out of India</w:t>
            </w:r>
            <w:r>
              <w:rPr>
                <w:i/>
              </w:rPr>
              <w:t xml:space="preserve">. </w:t>
            </w:r>
          </w:p>
        </w:tc>
      </w:tr>
      <w:tr w:rsidR="004D5155" w14:paraId="494F36BB" w14:textId="77777777" w:rsidTr="004D5155">
        <w:tc>
          <w:tcPr>
            <w:tcW w:w="5395" w:type="dxa"/>
          </w:tcPr>
          <w:p w14:paraId="3EDC8493" w14:textId="77777777" w:rsidR="004D5155" w:rsidRPr="00F35ECB" w:rsidRDefault="004D5155" w:rsidP="006C7804">
            <w:r w:rsidRPr="00F35ECB">
              <w:t>Where and how are the security policies available (paper, electronic)?</w:t>
            </w:r>
          </w:p>
        </w:tc>
        <w:tc>
          <w:tcPr>
            <w:tcW w:w="5395" w:type="dxa"/>
          </w:tcPr>
          <w:p w14:paraId="2CD6D8FD" w14:textId="77777777" w:rsidR="004D5155" w:rsidRPr="00F35ECB" w:rsidRDefault="00F35ECB" w:rsidP="006C7804">
            <w:pPr>
              <w:rPr>
                <w:i/>
              </w:rPr>
            </w:pPr>
            <w:r>
              <w:rPr>
                <w:i/>
              </w:rPr>
              <w:t xml:space="preserve">We have the security policies available on paper, printed for new hires. For everyone else, they can use our intranet site to view the policy online. </w:t>
            </w:r>
          </w:p>
        </w:tc>
      </w:tr>
      <w:tr w:rsidR="004D5155" w14:paraId="0DAE68EB" w14:textId="77777777" w:rsidTr="004D5155">
        <w:tc>
          <w:tcPr>
            <w:tcW w:w="5395" w:type="dxa"/>
          </w:tcPr>
          <w:p w14:paraId="7EF36F15" w14:textId="77777777" w:rsidR="004D5155" w:rsidRPr="00F35ECB" w:rsidRDefault="004D5155" w:rsidP="006C7804">
            <w:r w:rsidRPr="00F35ECB">
              <w:t>When were the policies last updated? Last disseminated?</w:t>
            </w:r>
          </w:p>
        </w:tc>
        <w:tc>
          <w:tcPr>
            <w:tcW w:w="5395" w:type="dxa"/>
          </w:tcPr>
          <w:p w14:paraId="5BF97FF3" w14:textId="77777777" w:rsidR="004D5155" w:rsidRPr="00F35ECB" w:rsidRDefault="00F35ECB" w:rsidP="006C7804">
            <w:pPr>
              <w:rPr>
                <w:i/>
              </w:rPr>
            </w:pPr>
            <w:r>
              <w:rPr>
                <w:i/>
              </w:rPr>
              <w:t>Since I have started this position 8 years ago, the policy has not been updated. A recent audit report is prompting us to create a new formal policy to include recent technology, laws, and regulations.</w:t>
            </w:r>
          </w:p>
        </w:tc>
      </w:tr>
      <w:tr w:rsidR="004D5155" w14:paraId="10063421" w14:textId="77777777" w:rsidTr="004D5155">
        <w:tc>
          <w:tcPr>
            <w:tcW w:w="5395" w:type="dxa"/>
          </w:tcPr>
          <w:p w14:paraId="76FBB877" w14:textId="77777777" w:rsidR="004D5155" w:rsidRPr="00F35ECB" w:rsidRDefault="004D5155" w:rsidP="006C7804">
            <w:r w:rsidRPr="00F35ECB">
              <w:t>Who, if anyone, has explicit responsibility for maintaining security policies?</w:t>
            </w:r>
          </w:p>
        </w:tc>
        <w:tc>
          <w:tcPr>
            <w:tcW w:w="5395" w:type="dxa"/>
          </w:tcPr>
          <w:p w14:paraId="31E096CE" w14:textId="77777777" w:rsidR="004D5155" w:rsidRPr="00F35ECB" w:rsidRDefault="00783C1B" w:rsidP="006C7804">
            <w:pPr>
              <w:rPr>
                <w:i/>
              </w:rPr>
            </w:pPr>
            <w:r>
              <w:rPr>
                <w:i/>
              </w:rPr>
              <w:t xml:space="preserve">Our </w:t>
            </w:r>
            <w:r w:rsidR="00FB2125">
              <w:rPr>
                <w:i/>
              </w:rPr>
              <w:t xml:space="preserve">security group and </w:t>
            </w:r>
            <w:r>
              <w:rPr>
                <w:i/>
              </w:rPr>
              <w:t xml:space="preserve">system </w:t>
            </w:r>
            <w:r w:rsidR="00FB2125">
              <w:rPr>
                <w:i/>
              </w:rPr>
              <w:t>administrators</w:t>
            </w:r>
            <w:r>
              <w:rPr>
                <w:i/>
              </w:rPr>
              <w:t xml:space="preserve">. But </w:t>
            </w:r>
            <w:r w:rsidR="00FB2125">
              <w:rPr>
                <w:i/>
              </w:rPr>
              <w:t>t</w:t>
            </w:r>
            <w:r>
              <w:rPr>
                <w:i/>
              </w:rPr>
              <w:t>hey are so bogged down with everyday tasks that it’s difficult for them to find time for re-writing a security policy.</w:t>
            </w:r>
          </w:p>
        </w:tc>
      </w:tr>
      <w:tr w:rsidR="004D5155" w14:paraId="3D77CE16" w14:textId="77777777" w:rsidTr="004D5155">
        <w:tc>
          <w:tcPr>
            <w:tcW w:w="5395" w:type="dxa"/>
          </w:tcPr>
          <w:p w14:paraId="590AA0EA" w14:textId="77777777" w:rsidR="004D5155" w:rsidRPr="00F35ECB" w:rsidRDefault="004D5155" w:rsidP="006C7804">
            <w:r w:rsidRPr="00F35ECB">
              <w:t>Who implements security policy at the enterprise level?</w:t>
            </w:r>
          </w:p>
        </w:tc>
        <w:tc>
          <w:tcPr>
            <w:tcW w:w="5395" w:type="dxa"/>
          </w:tcPr>
          <w:p w14:paraId="07CC236D" w14:textId="77777777" w:rsidR="004D5155" w:rsidRPr="00F35ECB" w:rsidRDefault="00FB2125" w:rsidP="006C7804">
            <w:pPr>
              <w:rPr>
                <w:i/>
              </w:rPr>
            </w:pPr>
            <w:r>
              <w:rPr>
                <w:i/>
              </w:rPr>
              <w:t>The CISO</w:t>
            </w:r>
          </w:p>
        </w:tc>
      </w:tr>
      <w:tr w:rsidR="004D5155" w14:paraId="33FA69E4" w14:textId="77777777" w:rsidTr="004D5155">
        <w:tc>
          <w:tcPr>
            <w:tcW w:w="5395" w:type="dxa"/>
          </w:tcPr>
          <w:p w14:paraId="3829F264" w14:textId="77777777" w:rsidR="004D5155" w:rsidRPr="00F35ECB" w:rsidRDefault="004D5155" w:rsidP="006C7804">
            <w:r w:rsidRPr="00F35ECB">
              <w:t>To whom does the chief information security officer report within the enterprise?</w:t>
            </w:r>
          </w:p>
        </w:tc>
        <w:tc>
          <w:tcPr>
            <w:tcW w:w="5395" w:type="dxa"/>
          </w:tcPr>
          <w:p w14:paraId="3C44BC59" w14:textId="77777777" w:rsidR="004D5155" w:rsidRPr="00F35ECB" w:rsidRDefault="00FB2125" w:rsidP="006C7804">
            <w:pPr>
              <w:rPr>
                <w:i/>
              </w:rPr>
            </w:pPr>
            <w:r>
              <w:rPr>
                <w:i/>
              </w:rPr>
              <w:t>The CIO</w:t>
            </w:r>
          </w:p>
        </w:tc>
      </w:tr>
      <w:tr w:rsidR="004D5155" w14:paraId="4E9B96FC" w14:textId="77777777" w:rsidTr="004D5155">
        <w:tc>
          <w:tcPr>
            <w:tcW w:w="5395" w:type="dxa"/>
          </w:tcPr>
          <w:p w14:paraId="28BD1537" w14:textId="77777777" w:rsidR="004D5155" w:rsidRPr="00F35ECB" w:rsidRDefault="004D5155" w:rsidP="006C7804">
            <w:r w:rsidRPr="00F35ECB">
              <w:t>Who monitors compliance with security policies, standards, and compliance?</w:t>
            </w:r>
          </w:p>
        </w:tc>
        <w:tc>
          <w:tcPr>
            <w:tcW w:w="5395" w:type="dxa"/>
          </w:tcPr>
          <w:p w14:paraId="78E39A19" w14:textId="77777777" w:rsidR="004D5155" w:rsidRPr="00F35ECB" w:rsidRDefault="00FB2125" w:rsidP="006C7804">
            <w:pPr>
              <w:rPr>
                <w:i/>
              </w:rPr>
            </w:pPr>
            <w:r>
              <w:rPr>
                <w:i/>
              </w:rPr>
              <w:t>The internal audit group</w:t>
            </w:r>
          </w:p>
        </w:tc>
      </w:tr>
    </w:tbl>
    <w:p w14:paraId="41FC1C96" w14:textId="77777777" w:rsidR="004D5155" w:rsidRDefault="004D5155" w:rsidP="006C7804">
      <w:pPr>
        <w:rPr>
          <w:b/>
          <w:color w:val="33CCCC"/>
        </w:rPr>
      </w:pPr>
    </w:p>
    <w:p w14:paraId="7FE17490" w14:textId="77777777" w:rsidR="004D5155" w:rsidRDefault="004D5155" w:rsidP="006C7804">
      <w:pPr>
        <w:rPr>
          <w:b/>
          <w:color w:val="33CCCC"/>
        </w:rPr>
      </w:pPr>
    </w:p>
    <w:p w14:paraId="0741C2DC" w14:textId="77777777" w:rsidR="004D5155" w:rsidRDefault="004D5155" w:rsidP="006C7804">
      <w:pPr>
        <w:rPr>
          <w:b/>
          <w:color w:val="33CCCC"/>
        </w:rPr>
      </w:pPr>
    </w:p>
    <w:p w14:paraId="00DD1FDB" w14:textId="77777777" w:rsidR="004D5155" w:rsidRDefault="004D5155" w:rsidP="006C7804">
      <w:pPr>
        <w:rPr>
          <w:b/>
          <w:color w:val="33CCCC"/>
        </w:rPr>
      </w:pPr>
    </w:p>
    <w:p w14:paraId="3E1BD54C" w14:textId="77777777" w:rsidR="004D5155" w:rsidRDefault="004D5155" w:rsidP="006C7804">
      <w:pPr>
        <w:rPr>
          <w:b/>
          <w:color w:val="33CCCC"/>
        </w:rPr>
      </w:pPr>
    </w:p>
    <w:p w14:paraId="4CD29C0D" w14:textId="77777777" w:rsidR="000E21B6" w:rsidRDefault="000E21B6" w:rsidP="006C7804">
      <w:pPr>
        <w:rPr>
          <w:b/>
          <w:color w:val="33CCCC"/>
        </w:rPr>
      </w:pPr>
    </w:p>
    <w:p w14:paraId="46B9830D" w14:textId="77777777" w:rsidR="000E21B6" w:rsidRDefault="000E21B6" w:rsidP="006C7804">
      <w:pPr>
        <w:rPr>
          <w:b/>
          <w:color w:val="33CCCC"/>
        </w:rPr>
      </w:pPr>
    </w:p>
    <w:p w14:paraId="55E56BE1" w14:textId="77777777" w:rsidR="000E21B6" w:rsidRDefault="000E21B6" w:rsidP="006C7804">
      <w:pPr>
        <w:rPr>
          <w:b/>
          <w:color w:val="33CCCC"/>
        </w:rPr>
      </w:pPr>
    </w:p>
    <w:p w14:paraId="5D686EA1" w14:textId="77777777" w:rsidR="000E21B6" w:rsidRDefault="000E21B6" w:rsidP="006C7804">
      <w:pPr>
        <w:rPr>
          <w:b/>
          <w:color w:val="33CCCC"/>
        </w:rPr>
      </w:pPr>
    </w:p>
    <w:p w14:paraId="0A68F2CE" w14:textId="77777777" w:rsidR="000E21B6" w:rsidRDefault="000E21B6" w:rsidP="006C7804">
      <w:pPr>
        <w:rPr>
          <w:b/>
          <w:color w:val="33CCCC"/>
        </w:rPr>
      </w:pPr>
    </w:p>
    <w:p w14:paraId="773773EB" w14:textId="77777777" w:rsidR="000E21B6" w:rsidRDefault="000E21B6" w:rsidP="006C7804">
      <w:pPr>
        <w:rPr>
          <w:b/>
          <w:color w:val="33CCCC"/>
        </w:rPr>
      </w:pPr>
    </w:p>
    <w:p w14:paraId="2566E939" w14:textId="77777777" w:rsidR="000E21B6" w:rsidRDefault="000E21B6">
      <w:pPr>
        <w:rPr>
          <w:b/>
          <w:color w:val="33CCCC"/>
        </w:rPr>
      </w:pPr>
    </w:p>
    <w:p w14:paraId="780DE414" w14:textId="77777777" w:rsidR="000E21B6" w:rsidRDefault="000E21B6" w:rsidP="006C7804">
      <w:pPr>
        <w:rPr>
          <w:b/>
          <w:color w:val="33CCCC"/>
        </w:rPr>
      </w:pPr>
    </w:p>
    <w:p w14:paraId="47F3D232" w14:textId="77777777" w:rsidR="000E21B6" w:rsidRDefault="004F37BA" w:rsidP="000E21B6">
      <w:pPr>
        <w:rPr>
          <w:b/>
          <w:color w:val="33CCCC"/>
        </w:rPr>
      </w:pPr>
      <w:r>
        <w:rPr>
          <w:b/>
          <w:color w:val="33CCCC"/>
        </w:rPr>
        <w:t>Supplemental</w:t>
      </w:r>
      <w:r w:rsidR="000E21B6" w:rsidRPr="007714FE">
        <w:rPr>
          <w:b/>
          <w:color w:val="33CCCC"/>
        </w:rPr>
        <w:t xml:space="preserve"> </w:t>
      </w:r>
      <w:r w:rsidR="000E21B6">
        <w:rPr>
          <w:b/>
          <w:color w:val="33CCCC"/>
        </w:rPr>
        <w:t>V</w:t>
      </w:r>
      <w:r w:rsidR="000E21B6" w:rsidRPr="007714FE">
        <w:rPr>
          <w:b/>
          <w:color w:val="33CCCC"/>
        </w:rPr>
        <w:t xml:space="preserve">: </w:t>
      </w:r>
      <w:r w:rsidR="00222568">
        <w:rPr>
          <w:b/>
          <w:color w:val="33CCCC"/>
        </w:rPr>
        <w:t>Res</w:t>
      </w:r>
      <w:r w:rsidR="000E21B6">
        <w:rPr>
          <w:b/>
          <w:color w:val="33CCCC"/>
        </w:rPr>
        <w:t>ources</w:t>
      </w:r>
      <w:r w:rsidR="00A36188">
        <w:rPr>
          <w:b/>
          <w:color w:val="33CCCC"/>
        </w:rPr>
        <w:t xml:space="preserve"> to Establish Policy Framework</w:t>
      </w:r>
    </w:p>
    <w:tbl>
      <w:tblPr>
        <w:tblStyle w:val="TableGrid"/>
        <w:tblW w:w="0" w:type="auto"/>
        <w:tblLook w:val="04A0" w:firstRow="1" w:lastRow="0" w:firstColumn="1" w:lastColumn="0" w:noHBand="0" w:noVBand="1"/>
      </w:tblPr>
      <w:tblGrid>
        <w:gridCol w:w="2965"/>
        <w:gridCol w:w="4228"/>
        <w:gridCol w:w="3597"/>
      </w:tblGrid>
      <w:tr w:rsidR="000E21B6" w14:paraId="79694E8A" w14:textId="77777777" w:rsidTr="009F4158">
        <w:tc>
          <w:tcPr>
            <w:tcW w:w="2965" w:type="dxa"/>
            <w:shd w:val="clear" w:color="auto" w:fill="000000" w:themeFill="text1"/>
          </w:tcPr>
          <w:p w14:paraId="6FD3969D" w14:textId="77777777" w:rsidR="000E21B6" w:rsidRDefault="00222568" w:rsidP="000E21B6">
            <w:pPr>
              <w:rPr>
                <w:b/>
              </w:rPr>
            </w:pPr>
            <w:r>
              <w:rPr>
                <w:b/>
              </w:rPr>
              <w:t xml:space="preserve">Organization </w:t>
            </w:r>
          </w:p>
        </w:tc>
        <w:tc>
          <w:tcPr>
            <w:tcW w:w="4228" w:type="dxa"/>
            <w:shd w:val="clear" w:color="auto" w:fill="000000" w:themeFill="text1"/>
          </w:tcPr>
          <w:p w14:paraId="2345E5B2" w14:textId="77777777" w:rsidR="000E21B6" w:rsidRDefault="00222568" w:rsidP="000E21B6">
            <w:pPr>
              <w:rPr>
                <w:b/>
              </w:rPr>
            </w:pPr>
            <w:r>
              <w:rPr>
                <w:b/>
              </w:rPr>
              <w:t>Document</w:t>
            </w:r>
          </w:p>
        </w:tc>
        <w:tc>
          <w:tcPr>
            <w:tcW w:w="3597" w:type="dxa"/>
            <w:shd w:val="clear" w:color="auto" w:fill="000000" w:themeFill="text1"/>
          </w:tcPr>
          <w:p w14:paraId="4B899D6D" w14:textId="77777777" w:rsidR="000E21B6" w:rsidRDefault="00222568" w:rsidP="000E21B6">
            <w:pPr>
              <w:rPr>
                <w:b/>
              </w:rPr>
            </w:pPr>
            <w:r>
              <w:rPr>
                <w:b/>
              </w:rPr>
              <w:t>Description</w:t>
            </w:r>
          </w:p>
        </w:tc>
      </w:tr>
      <w:tr w:rsidR="000E21B6" w14:paraId="25BC2F94" w14:textId="77777777" w:rsidTr="00222568">
        <w:tc>
          <w:tcPr>
            <w:tcW w:w="2965" w:type="dxa"/>
          </w:tcPr>
          <w:p w14:paraId="57F6EC35" w14:textId="77777777" w:rsidR="000E21B6" w:rsidRDefault="00222568" w:rsidP="00B703D8">
            <w:pPr>
              <w:jc w:val="center"/>
              <w:rPr>
                <w:b/>
              </w:rPr>
            </w:pPr>
            <w:r>
              <w:rPr>
                <w:b/>
              </w:rPr>
              <w:t>Information Security Forum</w:t>
            </w:r>
          </w:p>
        </w:tc>
        <w:tc>
          <w:tcPr>
            <w:tcW w:w="4228" w:type="dxa"/>
          </w:tcPr>
          <w:p w14:paraId="36D092A2" w14:textId="77777777" w:rsidR="00222568" w:rsidRPr="00222568" w:rsidRDefault="00222568" w:rsidP="00222568">
            <w:r w:rsidRPr="00222568">
              <w:t xml:space="preserve">Information Security Forum releases </w:t>
            </w:r>
          </w:p>
          <w:p w14:paraId="7A962179" w14:textId="77777777" w:rsidR="00222568" w:rsidRPr="00222568" w:rsidRDefault="00222568" w:rsidP="00222568">
            <w:r w:rsidRPr="00222568">
              <w:t xml:space="preserve">the Standard of Good Practice </w:t>
            </w:r>
          </w:p>
          <w:p w14:paraId="6C8F09E1" w14:textId="77777777" w:rsidR="000E21B6" w:rsidRPr="00222568" w:rsidRDefault="00222568" w:rsidP="00222568">
            <w:r w:rsidRPr="00222568">
              <w:t>for Information Security 2016</w:t>
            </w:r>
          </w:p>
        </w:tc>
        <w:tc>
          <w:tcPr>
            <w:tcW w:w="3597" w:type="dxa"/>
          </w:tcPr>
          <w:p w14:paraId="467ADE5F" w14:textId="77777777" w:rsidR="00222568" w:rsidRPr="00222568" w:rsidRDefault="00222568" w:rsidP="00222568">
            <w:pPr>
              <w:rPr>
                <w:i/>
              </w:rPr>
            </w:pPr>
            <w:r>
              <w:rPr>
                <w:i/>
              </w:rPr>
              <w:t>“</w:t>
            </w:r>
            <w:r w:rsidRPr="00222568">
              <w:rPr>
                <w:i/>
              </w:rPr>
              <w:t xml:space="preserve">All-in-one guide used by global organizations as their primary </w:t>
            </w:r>
          </w:p>
          <w:p w14:paraId="72B1B00F" w14:textId="77777777" w:rsidR="000E21B6" w:rsidRDefault="00222568" w:rsidP="00222568">
            <w:pPr>
              <w:rPr>
                <w:b/>
              </w:rPr>
            </w:pPr>
            <w:r w:rsidRPr="00222568">
              <w:rPr>
                <w:i/>
              </w:rPr>
              <w:t>reference for information security best practices.</w:t>
            </w:r>
            <w:r>
              <w:rPr>
                <w:i/>
              </w:rPr>
              <w:t>”</w:t>
            </w:r>
          </w:p>
        </w:tc>
      </w:tr>
      <w:tr w:rsidR="00D3021E" w14:paraId="45E3CC2F" w14:textId="77777777" w:rsidTr="00222568">
        <w:tc>
          <w:tcPr>
            <w:tcW w:w="2965" w:type="dxa"/>
            <w:vMerge w:val="restart"/>
          </w:tcPr>
          <w:p w14:paraId="3F7A0B9F" w14:textId="77777777" w:rsidR="00D3021E" w:rsidRDefault="00D3021E" w:rsidP="00B703D8">
            <w:pPr>
              <w:jc w:val="center"/>
              <w:rPr>
                <w:b/>
              </w:rPr>
            </w:pPr>
            <w:r w:rsidRPr="00222568">
              <w:rPr>
                <w:b/>
              </w:rPr>
              <w:t>International Standards Organization's Security Management series</w:t>
            </w:r>
            <w:r>
              <w:rPr>
                <w:b/>
              </w:rPr>
              <w:t xml:space="preserve"> (ISO)</w:t>
            </w:r>
          </w:p>
          <w:p w14:paraId="481C97D8" w14:textId="77777777" w:rsidR="00B703D8" w:rsidRDefault="00B703D8" w:rsidP="00B703D8">
            <w:pPr>
              <w:jc w:val="center"/>
              <w:rPr>
                <w:b/>
              </w:rPr>
            </w:pPr>
          </w:p>
          <w:p w14:paraId="0BFA2572" w14:textId="77777777" w:rsidR="00B703D8" w:rsidRDefault="00B703D8" w:rsidP="00B703D8">
            <w:pPr>
              <w:jc w:val="center"/>
              <w:rPr>
                <w:b/>
              </w:rPr>
            </w:pPr>
            <w:r>
              <w:rPr>
                <w:b/>
              </w:rPr>
              <w:t>(ISO.org)</w:t>
            </w:r>
          </w:p>
        </w:tc>
        <w:tc>
          <w:tcPr>
            <w:tcW w:w="4228" w:type="dxa"/>
          </w:tcPr>
          <w:p w14:paraId="167B3014" w14:textId="77777777" w:rsidR="00D3021E" w:rsidRDefault="00D3021E" w:rsidP="000E21B6">
            <w:r w:rsidRPr="00D3021E">
              <w:t>The ISO/IEC 27000 family</w:t>
            </w:r>
          </w:p>
          <w:p w14:paraId="0EF02272" w14:textId="77777777" w:rsidR="00D3021E" w:rsidRDefault="00D3021E" w:rsidP="000E21B6">
            <w:r>
              <w:br/>
            </w:r>
          </w:p>
          <w:p w14:paraId="2D662537" w14:textId="77777777" w:rsidR="00D3021E" w:rsidRPr="00222568" w:rsidRDefault="00D3021E" w:rsidP="00D3021E"/>
        </w:tc>
        <w:tc>
          <w:tcPr>
            <w:tcW w:w="3597" w:type="dxa"/>
          </w:tcPr>
          <w:p w14:paraId="42AE727E" w14:textId="77777777" w:rsidR="00D3021E" w:rsidRDefault="00D3021E" w:rsidP="000E21B6">
            <w:r>
              <w:t>“</w:t>
            </w:r>
            <w:r w:rsidRPr="00D3021E">
              <w:t>The ISO/IEC 27000 family of standards helps organizations keep information assets secure</w:t>
            </w:r>
            <w:r>
              <w:t xml:space="preserve">” </w:t>
            </w:r>
            <w:r w:rsidR="009F4158">
              <w:br/>
            </w:r>
            <w:r>
              <w:t xml:space="preserve">(ISO, </w:t>
            </w:r>
            <w:proofErr w:type="spellStart"/>
            <w:r>
              <w:t>n.d.a</w:t>
            </w:r>
            <w:proofErr w:type="spellEnd"/>
            <w:r>
              <w:t>).</w:t>
            </w:r>
          </w:p>
          <w:p w14:paraId="396B1880" w14:textId="77777777" w:rsidR="00D3021E" w:rsidRDefault="00D3021E" w:rsidP="000E21B6"/>
          <w:p w14:paraId="5C97C056" w14:textId="77777777" w:rsidR="00D3021E" w:rsidRDefault="00D3021E" w:rsidP="00D3021E"/>
          <w:p w14:paraId="44BA9B47" w14:textId="77777777" w:rsidR="00D3021E" w:rsidRPr="00222568" w:rsidRDefault="00D3021E" w:rsidP="00D3021E"/>
        </w:tc>
      </w:tr>
      <w:tr w:rsidR="00D3021E" w14:paraId="613DCD8A" w14:textId="77777777" w:rsidTr="00222568">
        <w:tc>
          <w:tcPr>
            <w:tcW w:w="2965" w:type="dxa"/>
            <w:vMerge/>
          </w:tcPr>
          <w:p w14:paraId="4F1CF54C" w14:textId="77777777" w:rsidR="00D3021E" w:rsidRPr="00222568" w:rsidRDefault="00D3021E" w:rsidP="000E21B6">
            <w:pPr>
              <w:rPr>
                <w:b/>
              </w:rPr>
            </w:pPr>
          </w:p>
        </w:tc>
        <w:tc>
          <w:tcPr>
            <w:tcW w:w="4228" w:type="dxa"/>
          </w:tcPr>
          <w:p w14:paraId="24FB56BA" w14:textId="77777777" w:rsidR="00D3021E" w:rsidRDefault="00D3021E" w:rsidP="000E21B6">
            <w:r w:rsidRPr="00222568">
              <w:t>ISO/IEC 27001</w:t>
            </w:r>
          </w:p>
        </w:tc>
        <w:tc>
          <w:tcPr>
            <w:tcW w:w="3597" w:type="dxa"/>
          </w:tcPr>
          <w:p w14:paraId="593AE98C" w14:textId="77777777" w:rsidR="00D3021E" w:rsidRDefault="00D3021E" w:rsidP="00D3021E">
            <w:r>
              <w:rPr>
                <w:i/>
              </w:rPr>
              <w:t>“</w:t>
            </w:r>
            <w:r w:rsidRPr="00D3021E">
              <w:rPr>
                <w:i/>
              </w:rPr>
              <w:t>ISO 27001 is the best-known standard in the family providing requirements for an information se</w:t>
            </w:r>
            <w:r>
              <w:rPr>
                <w:i/>
              </w:rPr>
              <w:t>curity management system (ISMS)</w:t>
            </w:r>
            <w:r w:rsidRPr="00D3021E">
              <w:rPr>
                <w:i/>
              </w:rPr>
              <w:t>”</w:t>
            </w:r>
            <w:r>
              <w:rPr>
                <w:i/>
              </w:rPr>
              <w:br/>
            </w:r>
            <w:r w:rsidR="00B703D8">
              <w:t xml:space="preserve">(ISO, </w:t>
            </w:r>
            <w:proofErr w:type="spellStart"/>
            <w:r w:rsidR="00B703D8">
              <w:t>n.d.a</w:t>
            </w:r>
            <w:proofErr w:type="spellEnd"/>
            <w:r>
              <w:t>).</w:t>
            </w:r>
          </w:p>
          <w:p w14:paraId="441E80BE" w14:textId="77777777" w:rsidR="00D3021E" w:rsidRDefault="00D3021E" w:rsidP="00D3021E"/>
        </w:tc>
      </w:tr>
      <w:tr w:rsidR="00D3021E" w14:paraId="254BE93F" w14:textId="77777777" w:rsidTr="00222568">
        <w:tc>
          <w:tcPr>
            <w:tcW w:w="2965" w:type="dxa"/>
            <w:vMerge/>
          </w:tcPr>
          <w:p w14:paraId="1B032324" w14:textId="77777777" w:rsidR="00D3021E" w:rsidRPr="00222568" w:rsidRDefault="00D3021E" w:rsidP="000E21B6">
            <w:pPr>
              <w:rPr>
                <w:b/>
              </w:rPr>
            </w:pPr>
          </w:p>
        </w:tc>
        <w:tc>
          <w:tcPr>
            <w:tcW w:w="4228" w:type="dxa"/>
          </w:tcPr>
          <w:p w14:paraId="6267E728" w14:textId="77777777" w:rsidR="00D3021E" w:rsidRDefault="00D3021E" w:rsidP="000E21B6">
            <w:pPr>
              <w:rPr>
                <w:b/>
              </w:rPr>
            </w:pPr>
            <w:r>
              <w:t>ISO/IEC 27002</w:t>
            </w:r>
          </w:p>
        </w:tc>
        <w:tc>
          <w:tcPr>
            <w:tcW w:w="3597" w:type="dxa"/>
          </w:tcPr>
          <w:p w14:paraId="471BC385" w14:textId="77777777" w:rsidR="00D3021E" w:rsidRDefault="00D3021E" w:rsidP="00D3021E">
            <w:r>
              <w:t>“</w:t>
            </w:r>
            <w:r w:rsidRPr="00D3021E">
              <w:rPr>
                <w:i/>
              </w:rPr>
              <w:t>ISO/IEC 27002:2013 gives guidelines for organizational information security standards and information security management practices including the selection, implementation and management of controls taking into consideration the organization's informati</w:t>
            </w:r>
            <w:r>
              <w:rPr>
                <w:i/>
              </w:rPr>
              <w:t>on security risk environment(s)</w:t>
            </w:r>
            <w:r w:rsidRPr="00D3021E">
              <w:rPr>
                <w:i/>
              </w:rPr>
              <w:t>”</w:t>
            </w:r>
            <w:r>
              <w:rPr>
                <w:i/>
              </w:rPr>
              <w:t xml:space="preserve"> </w:t>
            </w:r>
            <w:r>
              <w:t xml:space="preserve">(ISO, </w:t>
            </w:r>
            <w:proofErr w:type="spellStart"/>
            <w:r>
              <w:t>n.d.b</w:t>
            </w:r>
            <w:proofErr w:type="spellEnd"/>
            <w:r>
              <w:t>).</w:t>
            </w:r>
          </w:p>
          <w:p w14:paraId="0F28A4EE" w14:textId="77777777" w:rsidR="00D3021E" w:rsidRDefault="00D3021E" w:rsidP="000E21B6">
            <w:pPr>
              <w:rPr>
                <w:b/>
              </w:rPr>
            </w:pPr>
          </w:p>
        </w:tc>
      </w:tr>
      <w:tr w:rsidR="00D3021E" w14:paraId="2B6748F0" w14:textId="77777777" w:rsidTr="00222568">
        <w:tc>
          <w:tcPr>
            <w:tcW w:w="2965" w:type="dxa"/>
            <w:vMerge/>
          </w:tcPr>
          <w:p w14:paraId="6C3FE4DC" w14:textId="77777777" w:rsidR="00D3021E" w:rsidRPr="00222568" w:rsidRDefault="00D3021E" w:rsidP="000E21B6">
            <w:pPr>
              <w:rPr>
                <w:b/>
              </w:rPr>
            </w:pPr>
          </w:p>
        </w:tc>
        <w:tc>
          <w:tcPr>
            <w:tcW w:w="4228" w:type="dxa"/>
          </w:tcPr>
          <w:p w14:paraId="6A3BB6FE" w14:textId="77777777" w:rsidR="00D3021E" w:rsidRDefault="00D3021E" w:rsidP="00D3021E">
            <w:r>
              <w:t>ISO/IEC 27005</w:t>
            </w:r>
          </w:p>
          <w:p w14:paraId="0FE81DD8" w14:textId="77777777" w:rsidR="00D3021E" w:rsidRDefault="00D3021E" w:rsidP="000E21B6">
            <w:pPr>
              <w:rPr>
                <w:b/>
              </w:rPr>
            </w:pPr>
          </w:p>
        </w:tc>
        <w:tc>
          <w:tcPr>
            <w:tcW w:w="3597" w:type="dxa"/>
          </w:tcPr>
          <w:p w14:paraId="56CDACB4" w14:textId="77777777" w:rsidR="00D3021E" w:rsidRPr="00D3021E" w:rsidRDefault="00D3021E" w:rsidP="000E21B6">
            <w:r>
              <w:t>““</w:t>
            </w:r>
            <w:r w:rsidRPr="00D3021E">
              <w:rPr>
                <w:i/>
              </w:rPr>
              <w:t>ISO/IEC 27005:2011 provides guidelines for information security risk management</w:t>
            </w:r>
            <w:r>
              <w:rPr>
                <w:i/>
              </w:rPr>
              <w:t>…</w:t>
            </w:r>
            <w:r w:rsidRPr="00D3021E">
              <w:rPr>
                <w:i/>
              </w:rPr>
              <w:t>It supports the general concepts specified in ISO/IEC 27001 and is designed to assist the satisfactory implementation of information security based on a risk management approach”</w:t>
            </w:r>
            <w:r w:rsidR="00B703D8">
              <w:rPr>
                <w:i/>
              </w:rPr>
              <w:t xml:space="preserve"> </w:t>
            </w:r>
            <w:r w:rsidR="00B703D8">
              <w:t xml:space="preserve">(ISO, </w:t>
            </w:r>
            <w:proofErr w:type="spellStart"/>
            <w:r w:rsidR="00B703D8">
              <w:t>n.d.c</w:t>
            </w:r>
            <w:proofErr w:type="spellEnd"/>
            <w:r w:rsidR="00B703D8">
              <w:t>).</w:t>
            </w:r>
          </w:p>
        </w:tc>
      </w:tr>
      <w:tr w:rsidR="000E21B6" w14:paraId="2421A809" w14:textId="77777777" w:rsidTr="00222568">
        <w:tc>
          <w:tcPr>
            <w:tcW w:w="2965" w:type="dxa"/>
          </w:tcPr>
          <w:p w14:paraId="3465E6F8" w14:textId="77777777" w:rsidR="000E21B6" w:rsidRDefault="00222568" w:rsidP="00B703D8">
            <w:pPr>
              <w:jc w:val="center"/>
              <w:rPr>
                <w:b/>
              </w:rPr>
            </w:pPr>
            <w:r w:rsidRPr="00222568">
              <w:rPr>
                <w:b/>
              </w:rPr>
              <w:t>Information Systems Audit and Control Association's Control Objectives for Information Technology</w:t>
            </w:r>
            <w:r>
              <w:rPr>
                <w:b/>
              </w:rPr>
              <w:t xml:space="preserve"> (ISACA)</w:t>
            </w:r>
          </w:p>
          <w:p w14:paraId="445A9262" w14:textId="77777777" w:rsidR="00B703D8" w:rsidRDefault="00B703D8" w:rsidP="00B703D8">
            <w:pPr>
              <w:jc w:val="center"/>
              <w:rPr>
                <w:b/>
              </w:rPr>
            </w:pPr>
          </w:p>
          <w:p w14:paraId="61AE8EB8" w14:textId="77777777" w:rsidR="00B703D8" w:rsidRDefault="00B703D8" w:rsidP="00B703D8">
            <w:pPr>
              <w:jc w:val="center"/>
              <w:rPr>
                <w:b/>
              </w:rPr>
            </w:pPr>
            <w:r>
              <w:rPr>
                <w:b/>
              </w:rPr>
              <w:t>(ISACA.org)</w:t>
            </w:r>
          </w:p>
        </w:tc>
        <w:tc>
          <w:tcPr>
            <w:tcW w:w="4228" w:type="dxa"/>
          </w:tcPr>
          <w:p w14:paraId="00A60FE0" w14:textId="77777777" w:rsidR="000E21B6" w:rsidRPr="009F4158" w:rsidRDefault="009F4158" w:rsidP="000E21B6">
            <w:r>
              <w:t>COBIT</w:t>
            </w:r>
            <w:r w:rsidRPr="009F4158">
              <w:t xml:space="preserve"> 5</w:t>
            </w:r>
          </w:p>
        </w:tc>
        <w:tc>
          <w:tcPr>
            <w:tcW w:w="3597" w:type="dxa"/>
          </w:tcPr>
          <w:p w14:paraId="7DBBAE7B" w14:textId="77777777" w:rsidR="000E21B6" w:rsidRPr="009F4158" w:rsidRDefault="009F4158" w:rsidP="000E21B6">
            <w:r w:rsidRPr="00E77CD6">
              <w:rPr>
                <w:i/>
              </w:rPr>
              <w:t>“COBIT 5 is the overarching business and management framework for governance and management of enterprise IT. This volume documents the 5 principles of COBIT 5 and defines the 7 supporting enablers”</w:t>
            </w:r>
            <w:r w:rsidR="00440C04">
              <w:br/>
              <w:t>(ISACA, n.d.)</w:t>
            </w:r>
            <w:r>
              <w:t>.</w:t>
            </w:r>
          </w:p>
        </w:tc>
      </w:tr>
      <w:tr w:rsidR="00222568" w14:paraId="18A28578" w14:textId="77777777" w:rsidTr="009F4158">
        <w:tc>
          <w:tcPr>
            <w:tcW w:w="10790" w:type="dxa"/>
            <w:gridSpan w:val="3"/>
          </w:tcPr>
          <w:p w14:paraId="3A383052" w14:textId="77777777" w:rsidR="00222568" w:rsidRDefault="00222568" w:rsidP="000E21B6">
            <w:pPr>
              <w:rPr>
                <w:b/>
              </w:rPr>
            </w:pPr>
            <w:r>
              <w:rPr>
                <w:b/>
              </w:rPr>
              <w:t>Suggestions from (</w:t>
            </w:r>
            <w:proofErr w:type="spellStart"/>
            <w:r>
              <w:rPr>
                <w:b/>
              </w:rPr>
              <w:t>Bayuk</w:t>
            </w:r>
            <w:proofErr w:type="spellEnd"/>
            <w:r>
              <w:rPr>
                <w:b/>
              </w:rPr>
              <w:t>, 2016)</w:t>
            </w:r>
          </w:p>
        </w:tc>
      </w:tr>
    </w:tbl>
    <w:p w14:paraId="2DE7119B" w14:textId="77777777" w:rsidR="00222568" w:rsidRDefault="00222568">
      <w:pPr>
        <w:rPr>
          <w:b/>
          <w:color w:val="33CCCC"/>
        </w:rPr>
      </w:pPr>
    </w:p>
    <w:p w14:paraId="149B25F4" w14:textId="77777777" w:rsidR="00CD717E" w:rsidRDefault="004F37BA" w:rsidP="00CD717E">
      <w:pPr>
        <w:rPr>
          <w:b/>
          <w:color w:val="33CCCC"/>
        </w:rPr>
      </w:pPr>
      <w:r>
        <w:rPr>
          <w:b/>
          <w:color w:val="33CCCC"/>
        </w:rPr>
        <w:t>Supplemental</w:t>
      </w:r>
      <w:r w:rsidR="00CD717E" w:rsidRPr="007714FE">
        <w:rPr>
          <w:b/>
          <w:color w:val="33CCCC"/>
        </w:rPr>
        <w:t xml:space="preserve"> </w:t>
      </w:r>
      <w:r w:rsidR="00CD717E">
        <w:rPr>
          <w:b/>
          <w:color w:val="33CCCC"/>
        </w:rPr>
        <w:t>V</w:t>
      </w:r>
      <w:r>
        <w:rPr>
          <w:b/>
          <w:color w:val="33CCCC"/>
        </w:rPr>
        <w:t>I</w:t>
      </w:r>
      <w:r w:rsidR="00CD717E" w:rsidRPr="007714FE">
        <w:rPr>
          <w:b/>
          <w:color w:val="33CCCC"/>
        </w:rPr>
        <w:t xml:space="preserve">: </w:t>
      </w:r>
      <w:r w:rsidR="00CD717E">
        <w:rPr>
          <w:b/>
          <w:color w:val="33CCCC"/>
        </w:rPr>
        <w:t>Benefits</w:t>
      </w:r>
      <w:r w:rsidR="00E77CD6">
        <w:rPr>
          <w:b/>
          <w:color w:val="33CCCC"/>
        </w:rPr>
        <w:t xml:space="preserve"> of the Security Charter and Associated Documents</w:t>
      </w:r>
    </w:p>
    <w:p w14:paraId="1F0BAF6D" w14:textId="77777777" w:rsidR="004D5155" w:rsidRDefault="004D5155"/>
    <w:p w14:paraId="1E559B67" w14:textId="77777777" w:rsidR="00CD717E" w:rsidRDefault="00CD717E" w:rsidP="00CD717E">
      <w:r>
        <w:t>Reasons for adopting the policy and associated framework is for the following:</w:t>
      </w:r>
    </w:p>
    <w:tbl>
      <w:tblPr>
        <w:tblStyle w:val="TableGrid"/>
        <w:tblW w:w="0" w:type="auto"/>
        <w:tblLook w:val="04A0" w:firstRow="1" w:lastRow="0" w:firstColumn="1" w:lastColumn="0" w:noHBand="0" w:noVBand="1"/>
      </w:tblPr>
      <w:tblGrid>
        <w:gridCol w:w="1975"/>
        <w:gridCol w:w="8815"/>
      </w:tblGrid>
      <w:tr w:rsidR="00CD717E" w14:paraId="39C24E26" w14:textId="77777777" w:rsidTr="00A36188">
        <w:tc>
          <w:tcPr>
            <w:tcW w:w="1975" w:type="dxa"/>
          </w:tcPr>
          <w:p w14:paraId="553777BD" w14:textId="77777777" w:rsidR="00CD717E" w:rsidRPr="00FB2125" w:rsidRDefault="00CD717E" w:rsidP="009F4158">
            <w:r w:rsidRPr="00FB2125">
              <w:t>Internal Auditors</w:t>
            </w:r>
          </w:p>
        </w:tc>
        <w:tc>
          <w:tcPr>
            <w:tcW w:w="8815" w:type="dxa"/>
          </w:tcPr>
          <w:p w14:paraId="4BF965C7" w14:textId="77777777" w:rsidR="00CD717E" w:rsidRPr="007E645A" w:rsidRDefault="007E645A" w:rsidP="009F4158">
            <w:r w:rsidRPr="007E645A">
              <w:rPr>
                <w:b/>
              </w:rPr>
              <w:t>Improved analysis</w:t>
            </w:r>
            <w:r w:rsidRPr="007E645A">
              <w:t xml:space="preserve"> of risk in support of audit plans and reports</w:t>
            </w:r>
          </w:p>
        </w:tc>
      </w:tr>
      <w:tr w:rsidR="00CD717E" w14:paraId="1722F4CA" w14:textId="77777777" w:rsidTr="00A36188">
        <w:tc>
          <w:tcPr>
            <w:tcW w:w="1975" w:type="dxa"/>
          </w:tcPr>
          <w:p w14:paraId="6E3CCCE3" w14:textId="77777777" w:rsidR="00CD717E" w:rsidRPr="00FB2125" w:rsidRDefault="00CD717E" w:rsidP="009F4158">
            <w:r w:rsidRPr="00FB2125">
              <w:t>External Auditors</w:t>
            </w:r>
          </w:p>
        </w:tc>
        <w:tc>
          <w:tcPr>
            <w:tcW w:w="8815" w:type="dxa"/>
          </w:tcPr>
          <w:p w14:paraId="2D8D0C70" w14:textId="77777777" w:rsidR="00CD717E" w:rsidRPr="007E645A" w:rsidRDefault="007E645A" w:rsidP="009F4158">
            <w:r w:rsidRPr="007E645A">
              <w:rPr>
                <w:b/>
              </w:rPr>
              <w:t>Additional guidance</w:t>
            </w:r>
            <w:r w:rsidRPr="007E645A">
              <w:t xml:space="preserve"> on exposure levels when establishing an opinion on the quality of internal control</w:t>
            </w:r>
          </w:p>
        </w:tc>
      </w:tr>
      <w:tr w:rsidR="00CD717E" w14:paraId="1139F1E1" w14:textId="77777777" w:rsidTr="00A36188">
        <w:tc>
          <w:tcPr>
            <w:tcW w:w="1975" w:type="dxa"/>
          </w:tcPr>
          <w:p w14:paraId="3315A387" w14:textId="77777777" w:rsidR="00CD717E" w:rsidRPr="00FB2125" w:rsidRDefault="00CD717E" w:rsidP="009F4158">
            <w:r w:rsidRPr="00FB2125">
              <w:t>Compliance</w:t>
            </w:r>
          </w:p>
        </w:tc>
        <w:tc>
          <w:tcPr>
            <w:tcW w:w="8815" w:type="dxa"/>
          </w:tcPr>
          <w:p w14:paraId="602F4A15" w14:textId="77777777" w:rsidR="00CD717E" w:rsidRPr="007E645A" w:rsidRDefault="007E645A" w:rsidP="007E645A">
            <w:r w:rsidRPr="00A36188">
              <w:rPr>
                <w:b/>
              </w:rPr>
              <w:t>Document support</w:t>
            </w:r>
            <w:r>
              <w:t xml:space="preserve"> </w:t>
            </w:r>
            <w:r w:rsidR="00A36188">
              <w:t>for</w:t>
            </w:r>
            <w:r w:rsidRPr="007E645A">
              <w:t xml:space="preserve"> compliance</w:t>
            </w:r>
            <w:r w:rsidR="00A36188">
              <w:t xml:space="preserve"> requirements</w:t>
            </w:r>
          </w:p>
        </w:tc>
      </w:tr>
      <w:tr w:rsidR="00CD717E" w14:paraId="2CA4FF5A" w14:textId="77777777" w:rsidTr="00A36188">
        <w:tc>
          <w:tcPr>
            <w:tcW w:w="1975" w:type="dxa"/>
          </w:tcPr>
          <w:p w14:paraId="77010DF1" w14:textId="77777777" w:rsidR="00CD717E" w:rsidRPr="00FB2125" w:rsidRDefault="00CD717E" w:rsidP="009F4158">
            <w:r w:rsidRPr="00FB2125">
              <w:t>General Counsel</w:t>
            </w:r>
          </w:p>
        </w:tc>
        <w:tc>
          <w:tcPr>
            <w:tcW w:w="8815" w:type="dxa"/>
          </w:tcPr>
          <w:p w14:paraId="7E80C225" w14:textId="77777777" w:rsidR="00CD717E" w:rsidRPr="007E645A" w:rsidRDefault="00A36188" w:rsidP="007E645A">
            <w:r w:rsidRPr="00A36188">
              <w:rPr>
                <w:b/>
              </w:rPr>
              <w:t>Document support</w:t>
            </w:r>
            <w:r>
              <w:t xml:space="preserve"> for</w:t>
            </w:r>
            <w:r w:rsidRPr="007E645A">
              <w:t xml:space="preserve"> </w:t>
            </w:r>
            <w:r w:rsidR="007E645A" w:rsidRPr="007E645A">
              <w:t>regulation-related risk</w:t>
            </w:r>
            <w:r w:rsidR="007E645A">
              <w:t xml:space="preserve"> and potential impact or legal </w:t>
            </w:r>
            <w:r w:rsidR="007E645A" w:rsidRPr="007E645A">
              <w:t>implications</w:t>
            </w:r>
          </w:p>
        </w:tc>
      </w:tr>
      <w:tr w:rsidR="00CD717E" w14:paraId="5E0A58AE" w14:textId="77777777" w:rsidTr="00A36188">
        <w:tc>
          <w:tcPr>
            <w:tcW w:w="1975" w:type="dxa"/>
          </w:tcPr>
          <w:p w14:paraId="50E4E78D" w14:textId="77777777" w:rsidR="00CD717E" w:rsidRPr="00FB2125" w:rsidRDefault="00CD717E" w:rsidP="009F4158">
            <w:r w:rsidRPr="00FB2125">
              <w:t>Regulators</w:t>
            </w:r>
          </w:p>
        </w:tc>
        <w:tc>
          <w:tcPr>
            <w:tcW w:w="8815" w:type="dxa"/>
          </w:tcPr>
          <w:p w14:paraId="7893ED7A" w14:textId="77777777" w:rsidR="00CD717E" w:rsidRPr="007E645A" w:rsidRDefault="00A36188" w:rsidP="007E645A">
            <w:r w:rsidRPr="00A36188">
              <w:rPr>
                <w:b/>
              </w:rPr>
              <w:t>Document support</w:t>
            </w:r>
            <w:r>
              <w:t xml:space="preserve"> for</w:t>
            </w:r>
            <w:r w:rsidRPr="007E645A">
              <w:t xml:space="preserve"> </w:t>
            </w:r>
            <w:r w:rsidR="007E645A" w:rsidRPr="007E645A">
              <w:t xml:space="preserve">their assessment of regulated enterprise IT risk management </w:t>
            </w:r>
          </w:p>
        </w:tc>
      </w:tr>
      <w:tr w:rsidR="00CD717E" w14:paraId="5B1D452E" w14:textId="77777777" w:rsidTr="00A36188">
        <w:tc>
          <w:tcPr>
            <w:tcW w:w="1975" w:type="dxa"/>
          </w:tcPr>
          <w:p w14:paraId="4DF8F2B0" w14:textId="77777777" w:rsidR="00CD717E" w:rsidRPr="00FB2125" w:rsidRDefault="00CD717E" w:rsidP="009F4158">
            <w:r w:rsidRPr="00FB2125">
              <w:t>Insurers</w:t>
            </w:r>
          </w:p>
        </w:tc>
        <w:tc>
          <w:tcPr>
            <w:tcW w:w="8815" w:type="dxa"/>
          </w:tcPr>
          <w:p w14:paraId="62831DDB" w14:textId="77777777" w:rsidR="00CD717E" w:rsidRPr="007E645A" w:rsidRDefault="00A36188" w:rsidP="009F4158">
            <w:r w:rsidRPr="00A36188">
              <w:rPr>
                <w:b/>
              </w:rPr>
              <w:t>Document support</w:t>
            </w:r>
            <w:r>
              <w:t xml:space="preserve"> for </w:t>
            </w:r>
            <w:r w:rsidR="007E645A" w:rsidRPr="007E645A">
              <w:t>adequate IT insurance coverage and seeking agreement on exposure levels</w:t>
            </w:r>
          </w:p>
        </w:tc>
      </w:tr>
      <w:tr w:rsidR="00CD717E" w14:paraId="49871F03" w14:textId="77777777" w:rsidTr="00A36188">
        <w:tc>
          <w:tcPr>
            <w:tcW w:w="1975" w:type="dxa"/>
          </w:tcPr>
          <w:p w14:paraId="0CF3E1C3" w14:textId="77777777" w:rsidR="00CD717E" w:rsidRPr="00FB2125" w:rsidRDefault="00CD717E" w:rsidP="009F4158">
            <w:r w:rsidRPr="00FB2125">
              <w:t>Rating Agencies</w:t>
            </w:r>
          </w:p>
        </w:tc>
        <w:tc>
          <w:tcPr>
            <w:tcW w:w="8815" w:type="dxa"/>
          </w:tcPr>
          <w:p w14:paraId="0328A679" w14:textId="77777777" w:rsidR="00CD717E" w:rsidRPr="007E645A" w:rsidRDefault="00A36188" w:rsidP="009F4158">
            <w:r w:rsidRPr="00A36188">
              <w:rPr>
                <w:b/>
              </w:rPr>
              <w:t>A</w:t>
            </w:r>
            <w:r w:rsidR="007E645A" w:rsidRPr="00A36188">
              <w:rPr>
                <w:b/>
              </w:rPr>
              <w:t xml:space="preserve"> </w:t>
            </w:r>
            <w:r w:rsidRPr="00A36188">
              <w:rPr>
                <w:b/>
              </w:rPr>
              <w:t xml:space="preserve">document </w:t>
            </w:r>
            <w:r w:rsidR="007E645A" w:rsidRPr="00A36188">
              <w:rPr>
                <w:b/>
              </w:rPr>
              <w:t>reference</w:t>
            </w:r>
            <w:r w:rsidR="007E645A" w:rsidRPr="007E645A">
              <w:t xml:space="preserve"> to assess and rate objectively how an enterprise is managing IT risk</w:t>
            </w:r>
            <w:r>
              <w:t xml:space="preserve"> </w:t>
            </w:r>
            <w:r>
              <w:br/>
              <w:t>(in collaboration with insurers)</w:t>
            </w:r>
          </w:p>
        </w:tc>
      </w:tr>
      <w:tr w:rsidR="00CD717E" w14:paraId="4BA93EFB" w14:textId="77777777" w:rsidTr="00A36188">
        <w:tc>
          <w:tcPr>
            <w:tcW w:w="1975" w:type="dxa"/>
          </w:tcPr>
          <w:p w14:paraId="5FBD92A1" w14:textId="77777777" w:rsidR="00CD717E" w:rsidRPr="00FB2125" w:rsidRDefault="00CD717E" w:rsidP="009F4158">
            <w:r w:rsidRPr="00FB2125">
              <w:t>IT Contractors and Subcontractors</w:t>
            </w:r>
          </w:p>
        </w:tc>
        <w:tc>
          <w:tcPr>
            <w:tcW w:w="8815" w:type="dxa"/>
          </w:tcPr>
          <w:p w14:paraId="06AF017C" w14:textId="77777777" w:rsidR="007E645A" w:rsidRPr="007E645A" w:rsidRDefault="007E645A" w:rsidP="007E645A">
            <w:r w:rsidRPr="00A36188">
              <w:rPr>
                <w:b/>
              </w:rPr>
              <w:t>Better alignment of utility</w:t>
            </w:r>
            <w:r w:rsidRPr="007E645A">
              <w:t xml:space="preserve"> </w:t>
            </w:r>
            <w:r w:rsidRPr="00A36188">
              <w:rPr>
                <w:b/>
              </w:rPr>
              <w:t xml:space="preserve">and warranty </w:t>
            </w:r>
            <w:r w:rsidRPr="007E645A">
              <w:t>of IT services provided</w:t>
            </w:r>
          </w:p>
          <w:p w14:paraId="02D8A11B" w14:textId="77777777" w:rsidR="00CD717E" w:rsidRPr="007E645A" w:rsidRDefault="007E645A" w:rsidP="007E645A">
            <w:r w:rsidRPr="00A36188">
              <w:rPr>
                <w:b/>
              </w:rPr>
              <w:t>Understanding of responsibilities</w:t>
            </w:r>
            <w:r w:rsidR="00A36188">
              <w:t xml:space="preserve"> in the risk environment context</w:t>
            </w:r>
          </w:p>
        </w:tc>
      </w:tr>
      <w:tr w:rsidR="00CD717E" w14:paraId="1894C243" w14:textId="77777777" w:rsidTr="009F4158">
        <w:tc>
          <w:tcPr>
            <w:tcW w:w="10790" w:type="dxa"/>
            <w:gridSpan w:val="2"/>
          </w:tcPr>
          <w:p w14:paraId="36E2098A" w14:textId="77777777" w:rsidR="00CD717E" w:rsidRPr="007E645A" w:rsidRDefault="00A36188" w:rsidP="009F4158">
            <w:pPr>
              <w:rPr>
                <w:color w:val="33CCCC"/>
              </w:rPr>
            </w:pPr>
            <w:r>
              <w:t xml:space="preserve">Modified table from </w:t>
            </w:r>
            <w:r w:rsidR="007E645A">
              <w:t>(ISACA</w:t>
            </w:r>
            <w:r w:rsidR="007E645A" w:rsidRPr="007E645A">
              <w:t>, 2013)</w:t>
            </w:r>
          </w:p>
        </w:tc>
      </w:tr>
    </w:tbl>
    <w:p w14:paraId="1DED30A0" w14:textId="77777777" w:rsidR="00CD717E" w:rsidRDefault="00CD717E">
      <w:r>
        <w:br w:type="page"/>
      </w:r>
    </w:p>
    <w:p w14:paraId="2F6F2B04" w14:textId="77777777" w:rsidR="009824E6" w:rsidRDefault="009824E6"/>
    <w:p w14:paraId="56D1F777" w14:textId="77777777" w:rsidR="009824E6" w:rsidRPr="007714FE" w:rsidRDefault="009824E6">
      <w:pPr>
        <w:rPr>
          <w:b/>
          <w:color w:val="33CCCC"/>
        </w:rPr>
      </w:pPr>
      <w:r w:rsidRPr="007714FE">
        <w:rPr>
          <w:b/>
          <w:color w:val="33CCCC"/>
        </w:rPr>
        <w:t>References</w:t>
      </w:r>
    </w:p>
    <w:p w14:paraId="500F8737" w14:textId="77777777" w:rsidR="009824E6" w:rsidRDefault="000E21B6">
      <w:proofErr w:type="spellStart"/>
      <w:r>
        <w:t>Bayuk</w:t>
      </w:r>
      <w:proofErr w:type="spellEnd"/>
      <w:r>
        <w:t>, J. (2009, June 16).</w:t>
      </w:r>
      <w:r w:rsidRPr="00783C1B">
        <w:t xml:space="preserve"> </w:t>
      </w:r>
      <w:r w:rsidRPr="00783C1B">
        <w:rPr>
          <w:i/>
        </w:rPr>
        <w:t>How to Write an Information Security Policy.</w:t>
      </w:r>
      <w:r>
        <w:t xml:space="preserve"> Csoonline.com. Retrieved from </w:t>
      </w:r>
      <w:r w:rsidRPr="00783C1B">
        <w:t>https://www.csoonline.com/article/2124114/it-strategy/strategic-planning-erm-how-to-write-an-information-security-policy.html</w:t>
      </w:r>
    </w:p>
    <w:p w14:paraId="7EC333E6" w14:textId="77777777" w:rsidR="00E77CD6" w:rsidRDefault="00E77CD6" w:rsidP="00203FA4">
      <w:r>
        <w:t xml:space="preserve">HHS.gov. (2013, July 26). </w:t>
      </w:r>
      <w:r w:rsidRPr="00E77CD6">
        <w:rPr>
          <w:i/>
        </w:rPr>
        <w:t>Summary of the HIPAA Security Rule</w:t>
      </w:r>
      <w:r>
        <w:t xml:space="preserve">. Retrieved from </w:t>
      </w:r>
      <w:r w:rsidRPr="00440C04">
        <w:t>https://www.hhs.gov/hipaa/for-professionals/security/laws-regulations/index.html</w:t>
      </w:r>
    </w:p>
    <w:p w14:paraId="21AB067A" w14:textId="77777777" w:rsidR="00440C04" w:rsidRDefault="00440C04" w:rsidP="00203FA4">
      <w:r>
        <w:t>Information Security Forum. (2016, March 4).</w:t>
      </w:r>
      <w:r w:rsidRPr="00222568">
        <w:t xml:space="preserve"> </w:t>
      </w:r>
      <w:r w:rsidRPr="00440C04">
        <w:rPr>
          <w:i/>
        </w:rPr>
        <w:t>The Standard of Good Practice for Information Security 2016, Executive Summary</w:t>
      </w:r>
      <w:r>
        <w:t xml:space="preserve">. Securityforum.org. </w:t>
      </w:r>
      <w:r w:rsidRPr="00222568">
        <w:t>https://www.securityforum.org/uploads/2016/07/SoGP-2016-Exec-Summary-FINAL-260716.pdf</w:t>
      </w:r>
    </w:p>
    <w:p w14:paraId="39243CFA" w14:textId="77777777" w:rsidR="00E77CD6" w:rsidRDefault="007E645A" w:rsidP="00203FA4">
      <w:r>
        <w:t xml:space="preserve">ISACA. (2013). </w:t>
      </w:r>
      <w:r w:rsidRPr="00440C04">
        <w:rPr>
          <w:i/>
        </w:rPr>
        <w:t>COBIT 5, for Risk.</w:t>
      </w:r>
      <w:r>
        <w:t xml:space="preserve"> Isaca.org. Retrieved from </w:t>
      </w:r>
      <w:r w:rsidRPr="007E645A">
        <w:t>https://www.isaca.org/COBIT/Documents/COBIT-5-fo</w:t>
      </w:r>
      <w:r w:rsidR="00440C04">
        <w:t>r-Risk-Preview_res_eng_0913.pdf</w:t>
      </w:r>
    </w:p>
    <w:p w14:paraId="3E4427AD" w14:textId="77777777" w:rsidR="00E77CD6" w:rsidRDefault="00E77CD6" w:rsidP="00E77CD6">
      <w:r>
        <w:t>ISO. (</w:t>
      </w:r>
      <w:proofErr w:type="spellStart"/>
      <w:r>
        <w:t>n.d.a</w:t>
      </w:r>
      <w:proofErr w:type="spellEnd"/>
      <w:r>
        <w:t>).</w:t>
      </w:r>
      <w:r w:rsidRPr="00E77CD6">
        <w:t xml:space="preserve"> </w:t>
      </w:r>
      <w:r w:rsidRPr="00E77CD6">
        <w:rPr>
          <w:i/>
        </w:rPr>
        <w:t>ISO/IEC 27000 family - Information security management systems.</w:t>
      </w:r>
      <w:r>
        <w:t xml:space="preserve"> ISO.org. Retrieved March 16, 2018 from </w:t>
      </w:r>
      <w:r w:rsidRPr="00D3021E">
        <w:t>https://www.iso.org/isoiec-27001-information-security.html</w:t>
      </w:r>
    </w:p>
    <w:p w14:paraId="57B2DE0E" w14:textId="77777777" w:rsidR="00E77CD6" w:rsidRDefault="00E77CD6" w:rsidP="00E77CD6">
      <w:r>
        <w:t>ISO. (</w:t>
      </w:r>
      <w:proofErr w:type="spellStart"/>
      <w:r>
        <w:t>n.d.b</w:t>
      </w:r>
      <w:proofErr w:type="spellEnd"/>
      <w:r>
        <w:t>).</w:t>
      </w:r>
      <w:r w:rsidRPr="00E77CD6">
        <w:t xml:space="preserve"> </w:t>
      </w:r>
      <w:r w:rsidRPr="00E77CD6">
        <w:rPr>
          <w:i/>
        </w:rPr>
        <w:t>ISO/IEC 27002:2013</w:t>
      </w:r>
      <w:r w:rsidRPr="00E77CD6">
        <w:t xml:space="preserve"> </w:t>
      </w:r>
      <w:r w:rsidRPr="00E77CD6">
        <w:rPr>
          <w:i/>
        </w:rPr>
        <w:t xml:space="preserve">Information technology -- Security techniques -- Code of practice for information security controls. </w:t>
      </w:r>
      <w:r>
        <w:t xml:space="preserve">ISO.org. Retrieved March 16, 2018 from </w:t>
      </w:r>
      <w:r w:rsidRPr="00D3021E">
        <w:t>https://www.iso.org/standard/54533.html</w:t>
      </w:r>
    </w:p>
    <w:p w14:paraId="03FDA07F" w14:textId="77777777" w:rsidR="00E77CD6" w:rsidRDefault="00E77CD6" w:rsidP="00203FA4">
      <w:r>
        <w:t>ISO. (</w:t>
      </w:r>
      <w:proofErr w:type="spellStart"/>
      <w:r>
        <w:t>n.d.c</w:t>
      </w:r>
      <w:proofErr w:type="spellEnd"/>
      <w:r>
        <w:t xml:space="preserve">). </w:t>
      </w:r>
      <w:r w:rsidRPr="00E77CD6">
        <w:rPr>
          <w:i/>
        </w:rPr>
        <w:t>ISO/IEC 27005:2011, Information technology -- Security techniques -- Information security risk management.</w:t>
      </w:r>
      <w:r>
        <w:t xml:space="preserve"> </w:t>
      </w:r>
      <w:r w:rsidRPr="00E77CD6">
        <w:t xml:space="preserve"> </w:t>
      </w:r>
      <w:r>
        <w:t xml:space="preserve">ISO.org. Retrieved March 16, 2018 from </w:t>
      </w:r>
      <w:r w:rsidRPr="00D3021E">
        <w:t>https://www.iso.org/standard/56742.html</w:t>
      </w:r>
    </w:p>
    <w:p w14:paraId="3402E0B5" w14:textId="77777777" w:rsidR="00440C04" w:rsidRDefault="00440C04" w:rsidP="00203FA4">
      <w:r>
        <w:t xml:space="preserve">Johnson, R. (2015). </w:t>
      </w:r>
      <w:r w:rsidRPr="00867E61">
        <w:rPr>
          <w:i/>
        </w:rPr>
        <w:t>Security Policies and Implementation Issues, Second Edition.</w:t>
      </w:r>
      <w:r>
        <w:t xml:space="preserve"> Burlington, Massachusetts: Jones &amp; Bartlett Learning </w:t>
      </w:r>
    </w:p>
    <w:p w14:paraId="6D735EE9" w14:textId="77777777" w:rsidR="00440C04" w:rsidRPr="00440C04" w:rsidRDefault="00440C04" w:rsidP="00203FA4">
      <w:r>
        <w:t xml:space="preserve">Palmer, M.E., Robinson, C., </w:t>
      </w:r>
      <w:proofErr w:type="spellStart"/>
      <w:r>
        <w:t>Patilla</w:t>
      </w:r>
      <w:proofErr w:type="spellEnd"/>
      <w:r>
        <w:t>, J., Moser, E.P. (2000)</w:t>
      </w:r>
      <w:r>
        <w:rPr>
          <w:i/>
        </w:rPr>
        <w:t xml:space="preserve">. </w:t>
      </w:r>
      <w:r w:rsidRPr="009824E6">
        <w:rPr>
          <w:i/>
        </w:rPr>
        <w:t xml:space="preserve">META Security Group Information Security Policy Framework, Best Practices </w:t>
      </w:r>
      <w:proofErr w:type="gramStart"/>
      <w:r w:rsidRPr="009824E6">
        <w:rPr>
          <w:i/>
        </w:rPr>
        <w:t>For</w:t>
      </w:r>
      <w:proofErr w:type="gramEnd"/>
      <w:r w:rsidRPr="009824E6">
        <w:rPr>
          <w:i/>
        </w:rPr>
        <w:t xml:space="preserve"> Security Policy in the Internet and e-Commerce Age.</w:t>
      </w:r>
      <w:r>
        <w:t xml:space="preserve"> Retrieved from </w:t>
      </w:r>
      <w:r w:rsidRPr="009824E6">
        <w:t>http://horseproject.wiki/images/1/18/Information-Security-Policy-Framework-Research-Report.pdf</w:t>
      </w:r>
    </w:p>
    <w:p w14:paraId="7E0D04B4" w14:textId="77777777" w:rsidR="00203FA4" w:rsidRDefault="00203FA4" w:rsidP="00203FA4">
      <w:pPr>
        <w:rPr>
          <w:szCs w:val="24"/>
        </w:rPr>
      </w:pPr>
      <w:r w:rsidRPr="001A4C69">
        <w:rPr>
          <w:szCs w:val="24"/>
        </w:rPr>
        <w:t xml:space="preserve">Sherwood, J., Clark, A., </w:t>
      </w:r>
      <w:proofErr w:type="spellStart"/>
      <w:r w:rsidRPr="001A4C69">
        <w:rPr>
          <w:szCs w:val="24"/>
        </w:rPr>
        <w:t>Lynas</w:t>
      </w:r>
      <w:proofErr w:type="spellEnd"/>
      <w:r w:rsidRPr="001A4C69">
        <w:rPr>
          <w:szCs w:val="24"/>
        </w:rPr>
        <w:t xml:space="preserve">, D. (2005). </w:t>
      </w:r>
      <w:r w:rsidRPr="001A4C69">
        <w:rPr>
          <w:i/>
          <w:szCs w:val="24"/>
        </w:rPr>
        <w:t>Enterprise Security Architecture, A Business-Driven Approach</w:t>
      </w:r>
      <w:r w:rsidRPr="001A4C69">
        <w:rPr>
          <w:szCs w:val="24"/>
        </w:rPr>
        <w:t>. Boca Raton, Florida: CRC Press.</w:t>
      </w:r>
    </w:p>
    <w:p w14:paraId="547A7B87" w14:textId="77777777" w:rsidR="005A1730" w:rsidRDefault="005A1730"/>
    <w:p w14:paraId="79E1D9E8" w14:textId="77777777" w:rsidR="00222568" w:rsidRDefault="00222568"/>
    <w:p w14:paraId="6871A0C0" w14:textId="77777777" w:rsidR="009824E6" w:rsidRPr="00440C04" w:rsidRDefault="005A1730">
      <w:pPr>
        <w:rPr>
          <w:b/>
        </w:rPr>
      </w:pPr>
      <w:r w:rsidRPr="00440C04">
        <w:rPr>
          <w:b/>
        </w:rPr>
        <w:t>Logo from:</w:t>
      </w:r>
    </w:p>
    <w:p w14:paraId="6A30CF2C" w14:textId="77777777" w:rsidR="005A1730" w:rsidRDefault="005A1730">
      <w:proofErr w:type="spellStart"/>
      <w:r w:rsidRPr="005A1730">
        <w:t>MarksMan</w:t>
      </w:r>
      <w:proofErr w:type="spellEnd"/>
      <w:r w:rsidRPr="005A1730">
        <w:t xml:space="preserve"> Healthcare Communications</w:t>
      </w:r>
      <w:r>
        <w:t xml:space="preserve">. (n.d.). </w:t>
      </w:r>
      <w:r w:rsidRPr="005A1730">
        <w:rPr>
          <w:i/>
        </w:rPr>
        <w:t>HEOR – INDIA CONCLAVE (HIC).</w:t>
      </w:r>
      <w:r>
        <w:t xml:space="preserve"> Retrieved March 14, 2018 from </w:t>
      </w:r>
      <w:r w:rsidRPr="005A1730">
        <w:t>https://marksmanhealthcare.com/heor-india-conclave/</w:t>
      </w:r>
    </w:p>
    <w:p w14:paraId="6D88BAA0" w14:textId="77777777" w:rsidR="009824E6" w:rsidRDefault="009824E6"/>
    <w:p w14:paraId="316C7EB1" w14:textId="77777777" w:rsidR="009824E6" w:rsidRDefault="009824E6"/>
    <w:p w14:paraId="2A451BCD" w14:textId="77777777" w:rsidR="009824E6" w:rsidRDefault="009824E6"/>
    <w:sectPr w:rsidR="009824E6" w:rsidSect="009824E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D6BA" w14:textId="77777777" w:rsidR="00234EE1" w:rsidRDefault="00234EE1" w:rsidP="009824E6">
      <w:pPr>
        <w:spacing w:after="0" w:line="240" w:lineRule="auto"/>
      </w:pPr>
      <w:r>
        <w:separator/>
      </w:r>
    </w:p>
  </w:endnote>
  <w:endnote w:type="continuationSeparator" w:id="0">
    <w:p w14:paraId="51CE39D0" w14:textId="77777777" w:rsidR="00234EE1" w:rsidRDefault="00234EE1" w:rsidP="0098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3663" w14:textId="77777777" w:rsidR="00234EE1" w:rsidRDefault="00234EE1" w:rsidP="009824E6">
      <w:pPr>
        <w:spacing w:after="0" w:line="240" w:lineRule="auto"/>
      </w:pPr>
      <w:r>
        <w:separator/>
      </w:r>
    </w:p>
  </w:footnote>
  <w:footnote w:type="continuationSeparator" w:id="0">
    <w:p w14:paraId="0314FB6A" w14:textId="77777777" w:rsidR="00234EE1" w:rsidRDefault="00234EE1" w:rsidP="0098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F4158" w14:paraId="366DAC14" w14:textId="77777777" w:rsidTr="00746EAB">
      <w:tc>
        <w:tcPr>
          <w:tcW w:w="5395" w:type="dxa"/>
        </w:tcPr>
        <w:p w14:paraId="1BA28B22" w14:textId="77777777" w:rsidR="009F4158" w:rsidRDefault="009F4158" w:rsidP="00746EAB">
          <w:pPr>
            <w:pStyle w:val="Header"/>
          </w:pPr>
          <w:bookmarkStart w:id="0" w:name="_Hlk509241009"/>
          <w:r w:rsidRPr="00C63BC2">
            <w:rPr>
              <w:b/>
            </w:rPr>
            <w:t>From:</w:t>
          </w:r>
          <w:r>
            <w:t xml:space="preserve">      Ryan Nye, CompanyX</w:t>
          </w:r>
          <w:r>
            <w:br/>
          </w:r>
          <w:r w:rsidRPr="00C63BC2">
            <w:rPr>
              <w:b/>
            </w:rPr>
            <w:t>To:</w:t>
          </w:r>
          <w:r>
            <w:t xml:space="preserve">           Cameron Carter, HIC</w:t>
          </w:r>
          <w:r>
            <w:br/>
          </w:r>
          <w:r w:rsidRPr="00C63BC2">
            <w:rPr>
              <w:b/>
            </w:rPr>
            <w:t>Date:</w:t>
          </w:r>
          <w:r>
            <w:t xml:space="preserve">       March 19, 2018</w:t>
          </w:r>
        </w:p>
        <w:p w14:paraId="45C04E6D" w14:textId="77777777" w:rsidR="009F4158" w:rsidRDefault="009F4158" w:rsidP="00746EAB">
          <w:pPr>
            <w:pStyle w:val="Header"/>
          </w:pPr>
          <w:r w:rsidRPr="00C63BC2">
            <w:rPr>
              <w:b/>
            </w:rPr>
            <w:t>Subject:</w:t>
          </w:r>
          <w:r>
            <w:t xml:space="preserve">  Information Security Program Charter</w:t>
          </w:r>
        </w:p>
      </w:tc>
      <w:tc>
        <w:tcPr>
          <w:tcW w:w="5395" w:type="dxa"/>
        </w:tcPr>
        <w:p w14:paraId="7D8D727A" w14:textId="77777777" w:rsidR="009F4158" w:rsidRDefault="009F4158" w:rsidP="00746EAB">
          <w:pPr>
            <w:pStyle w:val="Header"/>
            <w:jc w:val="right"/>
          </w:pPr>
          <w:r>
            <w:rPr>
              <w:noProof/>
            </w:rPr>
            <w:drawing>
              <wp:inline distT="0" distB="0" distL="0" distR="0" wp14:anchorId="1FBAEE91" wp14:editId="615F0079">
                <wp:extent cx="1286540" cy="45490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 Logo.png"/>
                        <pic:cNvPicPr/>
                      </pic:nvPicPr>
                      <pic:blipFill rotWithShape="1">
                        <a:blip r:embed="rId1">
                          <a:extLst>
                            <a:ext uri="{28A0092B-C50C-407E-A947-70E740481C1C}">
                              <a14:useLocalDpi xmlns:a14="http://schemas.microsoft.com/office/drawing/2010/main" val="0"/>
                            </a:ext>
                          </a:extLst>
                        </a:blip>
                        <a:srcRect b="55617"/>
                        <a:stretch/>
                      </pic:blipFill>
                      <pic:spPr bwMode="auto">
                        <a:xfrm>
                          <a:off x="0" y="0"/>
                          <a:ext cx="1324019" cy="468156"/>
                        </a:xfrm>
                        <a:prstGeom prst="rect">
                          <a:avLst/>
                        </a:prstGeom>
                        <a:ln>
                          <a:noFill/>
                        </a:ln>
                        <a:extLst>
                          <a:ext uri="{53640926-AAD7-44D8-BBD7-CCE9431645EC}">
                            <a14:shadowObscured xmlns:a14="http://schemas.microsoft.com/office/drawing/2010/main"/>
                          </a:ext>
                        </a:extLst>
                      </pic:spPr>
                    </pic:pic>
                  </a:graphicData>
                </a:graphic>
              </wp:inline>
            </w:drawing>
          </w:r>
        </w:p>
      </w:tc>
    </w:tr>
    <w:bookmarkEnd w:id="0"/>
  </w:tbl>
  <w:p w14:paraId="286F5B8D" w14:textId="77777777" w:rsidR="009F4158" w:rsidRDefault="009F4158" w:rsidP="009824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39D8"/>
    <w:multiLevelType w:val="hybridMultilevel"/>
    <w:tmpl w:val="8F986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E6"/>
    <w:rsid w:val="00052EB4"/>
    <w:rsid w:val="00085E9D"/>
    <w:rsid w:val="000963B1"/>
    <w:rsid w:val="000E21B6"/>
    <w:rsid w:val="001A54C5"/>
    <w:rsid w:val="001D7090"/>
    <w:rsid w:val="00203FA4"/>
    <w:rsid w:val="00222568"/>
    <w:rsid w:val="00225F4F"/>
    <w:rsid w:val="00234EE1"/>
    <w:rsid w:val="002F2EDD"/>
    <w:rsid w:val="003B286B"/>
    <w:rsid w:val="00403C0F"/>
    <w:rsid w:val="0042205D"/>
    <w:rsid w:val="00432CD8"/>
    <w:rsid w:val="00436FAE"/>
    <w:rsid w:val="004409D2"/>
    <w:rsid w:val="00440C04"/>
    <w:rsid w:val="004D5155"/>
    <w:rsid w:val="004D7A19"/>
    <w:rsid w:val="004E0391"/>
    <w:rsid w:val="004F37BA"/>
    <w:rsid w:val="00552E24"/>
    <w:rsid w:val="005A1730"/>
    <w:rsid w:val="005A3EA0"/>
    <w:rsid w:val="00635945"/>
    <w:rsid w:val="00660218"/>
    <w:rsid w:val="00677B91"/>
    <w:rsid w:val="006C7804"/>
    <w:rsid w:val="00746EAB"/>
    <w:rsid w:val="00761D91"/>
    <w:rsid w:val="007714FE"/>
    <w:rsid w:val="00783C1B"/>
    <w:rsid w:val="007E645A"/>
    <w:rsid w:val="00867E61"/>
    <w:rsid w:val="008A4973"/>
    <w:rsid w:val="008F7B2F"/>
    <w:rsid w:val="00904A55"/>
    <w:rsid w:val="009824E6"/>
    <w:rsid w:val="009A6B91"/>
    <w:rsid w:val="009F4158"/>
    <w:rsid w:val="00A25342"/>
    <w:rsid w:val="00A36188"/>
    <w:rsid w:val="00A45E8F"/>
    <w:rsid w:val="00A8048D"/>
    <w:rsid w:val="00AB580B"/>
    <w:rsid w:val="00AD2B91"/>
    <w:rsid w:val="00B62ACE"/>
    <w:rsid w:val="00B703D8"/>
    <w:rsid w:val="00BE6C4C"/>
    <w:rsid w:val="00C046F8"/>
    <w:rsid w:val="00C22855"/>
    <w:rsid w:val="00C63BC2"/>
    <w:rsid w:val="00C646CC"/>
    <w:rsid w:val="00C958C3"/>
    <w:rsid w:val="00CC34EE"/>
    <w:rsid w:val="00CD717E"/>
    <w:rsid w:val="00D155D8"/>
    <w:rsid w:val="00D3021E"/>
    <w:rsid w:val="00D35C19"/>
    <w:rsid w:val="00DC1150"/>
    <w:rsid w:val="00E77CD6"/>
    <w:rsid w:val="00ED7007"/>
    <w:rsid w:val="00F35ECB"/>
    <w:rsid w:val="00FB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D52B"/>
  <w15:chartTrackingRefBased/>
  <w15:docId w15:val="{DA7F077D-3110-4A40-AF28-CB4D83E1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4E6"/>
  </w:style>
  <w:style w:type="paragraph" w:styleId="Footer">
    <w:name w:val="footer"/>
    <w:basedOn w:val="Normal"/>
    <w:link w:val="FooterChar"/>
    <w:uiPriority w:val="99"/>
    <w:unhideWhenUsed/>
    <w:rsid w:val="0098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4E6"/>
  </w:style>
  <w:style w:type="table" w:styleId="TableGrid">
    <w:name w:val="Table Grid"/>
    <w:basedOn w:val="TableNormal"/>
    <w:uiPriority w:val="39"/>
    <w:rsid w:val="004D5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65780">
      <w:bodyDiv w:val="1"/>
      <w:marLeft w:val="0"/>
      <w:marRight w:val="0"/>
      <w:marTop w:val="0"/>
      <w:marBottom w:val="0"/>
      <w:divBdr>
        <w:top w:val="none" w:sz="0" w:space="0" w:color="auto"/>
        <w:left w:val="none" w:sz="0" w:space="0" w:color="auto"/>
        <w:bottom w:val="none" w:sz="0" w:space="0" w:color="auto"/>
        <w:right w:val="none" w:sz="0" w:space="0" w:color="auto"/>
      </w:divBdr>
    </w:div>
    <w:div w:id="1815877957">
      <w:bodyDiv w:val="1"/>
      <w:marLeft w:val="0"/>
      <w:marRight w:val="0"/>
      <w:marTop w:val="0"/>
      <w:marBottom w:val="0"/>
      <w:divBdr>
        <w:top w:val="none" w:sz="0" w:space="0" w:color="auto"/>
        <w:left w:val="none" w:sz="0" w:space="0" w:color="auto"/>
        <w:bottom w:val="none" w:sz="0" w:space="0" w:color="auto"/>
        <w:right w:val="none" w:sz="0" w:space="0" w:color="auto"/>
      </w:divBdr>
      <w:divsChild>
        <w:div w:id="1007757484">
          <w:marLeft w:val="0"/>
          <w:marRight w:val="0"/>
          <w:marTop w:val="0"/>
          <w:marBottom w:val="0"/>
          <w:divBdr>
            <w:top w:val="none" w:sz="0" w:space="0" w:color="auto"/>
            <w:left w:val="none" w:sz="0" w:space="0" w:color="auto"/>
            <w:bottom w:val="none" w:sz="0" w:space="0" w:color="auto"/>
            <w:right w:val="none" w:sz="0" w:space="0" w:color="auto"/>
          </w:divBdr>
        </w:div>
        <w:div w:id="1787264630">
          <w:marLeft w:val="0"/>
          <w:marRight w:val="0"/>
          <w:marTop w:val="0"/>
          <w:marBottom w:val="0"/>
          <w:divBdr>
            <w:top w:val="none" w:sz="0" w:space="0" w:color="auto"/>
            <w:left w:val="none" w:sz="0" w:space="0" w:color="auto"/>
            <w:bottom w:val="none" w:sz="0" w:space="0" w:color="auto"/>
            <w:right w:val="none" w:sz="0" w:space="0" w:color="auto"/>
          </w:divBdr>
        </w:div>
        <w:div w:id="658851529">
          <w:marLeft w:val="0"/>
          <w:marRight w:val="0"/>
          <w:marTop w:val="0"/>
          <w:marBottom w:val="0"/>
          <w:divBdr>
            <w:top w:val="none" w:sz="0" w:space="0" w:color="auto"/>
            <w:left w:val="none" w:sz="0" w:space="0" w:color="auto"/>
            <w:bottom w:val="none" w:sz="0" w:space="0" w:color="auto"/>
            <w:right w:val="none" w:sz="0" w:space="0" w:color="auto"/>
          </w:divBdr>
        </w:div>
        <w:div w:id="423309629">
          <w:marLeft w:val="0"/>
          <w:marRight w:val="0"/>
          <w:marTop w:val="0"/>
          <w:marBottom w:val="0"/>
          <w:divBdr>
            <w:top w:val="none" w:sz="0" w:space="0" w:color="auto"/>
            <w:left w:val="none" w:sz="0" w:space="0" w:color="auto"/>
            <w:bottom w:val="none" w:sz="0" w:space="0" w:color="auto"/>
            <w:right w:val="none" w:sz="0" w:space="0" w:color="auto"/>
          </w:divBdr>
        </w:div>
        <w:div w:id="1976176578">
          <w:marLeft w:val="0"/>
          <w:marRight w:val="0"/>
          <w:marTop w:val="0"/>
          <w:marBottom w:val="0"/>
          <w:divBdr>
            <w:top w:val="none" w:sz="0" w:space="0" w:color="auto"/>
            <w:left w:val="none" w:sz="0" w:space="0" w:color="auto"/>
            <w:bottom w:val="none" w:sz="0" w:space="0" w:color="auto"/>
            <w:right w:val="none" w:sz="0" w:space="0" w:color="auto"/>
          </w:divBdr>
        </w:div>
        <w:div w:id="620914062">
          <w:marLeft w:val="0"/>
          <w:marRight w:val="0"/>
          <w:marTop w:val="0"/>
          <w:marBottom w:val="0"/>
          <w:divBdr>
            <w:top w:val="none" w:sz="0" w:space="0" w:color="auto"/>
            <w:left w:val="none" w:sz="0" w:space="0" w:color="auto"/>
            <w:bottom w:val="none" w:sz="0" w:space="0" w:color="auto"/>
            <w:right w:val="none" w:sz="0" w:space="0" w:color="auto"/>
          </w:divBdr>
        </w:div>
        <w:div w:id="536240118">
          <w:marLeft w:val="0"/>
          <w:marRight w:val="0"/>
          <w:marTop w:val="0"/>
          <w:marBottom w:val="0"/>
          <w:divBdr>
            <w:top w:val="none" w:sz="0" w:space="0" w:color="auto"/>
            <w:left w:val="none" w:sz="0" w:space="0" w:color="auto"/>
            <w:bottom w:val="none" w:sz="0" w:space="0" w:color="auto"/>
            <w:right w:val="none" w:sz="0" w:space="0" w:color="auto"/>
          </w:divBdr>
        </w:div>
        <w:div w:id="54092088">
          <w:marLeft w:val="0"/>
          <w:marRight w:val="0"/>
          <w:marTop w:val="0"/>
          <w:marBottom w:val="0"/>
          <w:divBdr>
            <w:top w:val="none" w:sz="0" w:space="0" w:color="auto"/>
            <w:left w:val="none" w:sz="0" w:space="0" w:color="auto"/>
            <w:bottom w:val="none" w:sz="0" w:space="0" w:color="auto"/>
            <w:right w:val="none" w:sz="0" w:space="0" w:color="auto"/>
          </w:divBdr>
        </w:div>
        <w:div w:id="970600808">
          <w:marLeft w:val="0"/>
          <w:marRight w:val="0"/>
          <w:marTop w:val="0"/>
          <w:marBottom w:val="0"/>
          <w:divBdr>
            <w:top w:val="none" w:sz="0" w:space="0" w:color="auto"/>
            <w:left w:val="none" w:sz="0" w:space="0" w:color="auto"/>
            <w:bottom w:val="none" w:sz="0" w:space="0" w:color="auto"/>
            <w:right w:val="none" w:sz="0" w:space="0" w:color="auto"/>
          </w:divBdr>
        </w:div>
        <w:div w:id="53050191">
          <w:marLeft w:val="0"/>
          <w:marRight w:val="0"/>
          <w:marTop w:val="0"/>
          <w:marBottom w:val="0"/>
          <w:divBdr>
            <w:top w:val="none" w:sz="0" w:space="0" w:color="auto"/>
            <w:left w:val="none" w:sz="0" w:space="0" w:color="auto"/>
            <w:bottom w:val="none" w:sz="0" w:space="0" w:color="auto"/>
            <w:right w:val="none" w:sz="0" w:space="0" w:color="auto"/>
          </w:divBdr>
        </w:div>
        <w:div w:id="1092703446">
          <w:marLeft w:val="0"/>
          <w:marRight w:val="0"/>
          <w:marTop w:val="0"/>
          <w:marBottom w:val="0"/>
          <w:divBdr>
            <w:top w:val="none" w:sz="0" w:space="0" w:color="auto"/>
            <w:left w:val="none" w:sz="0" w:space="0" w:color="auto"/>
            <w:bottom w:val="none" w:sz="0" w:space="0" w:color="auto"/>
            <w:right w:val="none" w:sz="0" w:space="0" w:color="auto"/>
          </w:divBdr>
        </w:div>
        <w:div w:id="739644845">
          <w:marLeft w:val="0"/>
          <w:marRight w:val="0"/>
          <w:marTop w:val="0"/>
          <w:marBottom w:val="0"/>
          <w:divBdr>
            <w:top w:val="none" w:sz="0" w:space="0" w:color="auto"/>
            <w:left w:val="none" w:sz="0" w:space="0" w:color="auto"/>
            <w:bottom w:val="none" w:sz="0" w:space="0" w:color="auto"/>
            <w:right w:val="none" w:sz="0" w:space="0" w:color="auto"/>
          </w:divBdr>
        </w:div>
        <w:div w:id="22553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MacGruber</dc:creator>
  <cp:keywords/>
  <dc:description/>
  <cp:lastModifiedBy>Ryan Nye</cp:lastModifiedBy>
  <cp:revision>2</cp:revision>
  <cp:lastPrinted>2018-03-20T04:51:00Z</cp:lastPrinted>
  <dcterms:created xsi:type="dcterms:W3CDTF">2022-02-09T18:52:00Z</dcterms:created>
  <dcterms:modified xsi:type="dcterms:W3CDTF">2022-02-09T18:52:00Z</dcterms:modified>
</cp:coreProperties>
</file>